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88B0" w14:textId="3EABB3EC" w:rsidR="00A26173" w:rsidRPr="00A4035A" w:rsidRDefault="00D562EB" w:rsidP="00A26173">
      <w:pPr>
        <w:pStyle w:val="Heading2"/>
        <w:rPr>
          <w:lang w:val="hr-HR"/>
        </w:rPr>
      </w:pPr>
      <w:r w:rsidRPr="00A4035A">
        <w:rPr>
          <w:lang w:val="hr-HR"/>
        </w:rPr>
        <w:t xml:space="preserve">RKP: </w:t>
      </w:r>
      <w:r w:rsidR="00A26173" w:rsidRPr="00A4035A">
        <w:rPr>
          <w:lang w:val="hr-HR"/>
        </w:rPr>
        <w:t xml:space="preserve">49075 </w:t>
      </w:r>
      <w:r w:rsidRPr="00A4035A">
        <w:rPr>
          <w:lang w:val="hr-HR"/>
        </w:rPr>
        <w:t xml:space="preserve">- </w:t>
      </w:r>
      <w:r w:rsidR="00A26173" w:rsidRPr="00A4035A">
        <w:rPr>
          <w:lang w:val="hr-HR"/>
        </w:rPr>
        <w:t>Agencija za elektroničke medije</w:t>
      </w:r>
    </w:p>
    <w:p w14:paraId="72928918" w14:textId="32851978" w:rsidR="002B014D" w:rsidRPr="00A4035A" w:rsidRDefault="006E3975" w:rsidP="002B014D">
      <w:pPr>
        <w:shd w:val="clear" w:color="auto" w:fill="FFFFFF"/>
        <w:spacing w:after="48"/>
        <w:rPr>
          <w:sz w:val="24"/>
          <w:szCs w:val="24"/>
          <w:lang w:eastAsia="hr-HR"/>
        </w:rPr>
      </w:pPr>
      <w:r w:rsidRPr="00A4035A">
        <w:rPr>
          <w:sz w:val="24"/>
          <w:szCs w:val="24"/>
          <w:lang w:val="hr-HR"/>
        </w:rPr>
        <w:t xml:space="preserve">Agencija za elektroničke medije (Agencija) </w:t>
      </w:r>
      <w:r w:rsidR="002B014D" w:rsidRPr="00A4035A">
        <w:rPr>
          <w:sz w:val="24"/>
          <w:szCs w:val="24"/>
          <w:lang w:val="hr-HR"/>
        </w:rPr>
        <w:t xml:space="preserve">je </w:t>
      </w:r>
      <w:r w:rsidR="008B0A35" w:rsidRPr="00A4035A">
        <w:rPr>
          <w:sz w:val="24"/>
          <w:szCs w:val="24"/>
          <w:lang w:eastAsia="hr-HR"/>
        </w:rPr>
        <w:t xml:space="preserve">samostalna, neovisna i neprofitna pravna osoba s javnim ovlastima </w:t>
      </w:r>
      <w:r w:rsidRPr="00A4035A">
        <w:rPr>
          <w:sz w:val="24"/>
          <w:szCs w:val="24"/>
          <w:lang w:val="hr-HR"/>
        </w:rPr>
        <w:t xml:space="preserve">upisana u sudski registar Trgovačkog suda u Zagrebu. </w:t>
      </w:r>
      <w:r w:rsidR="008B0A35" w:rsidRPr="00A4035A">
        <w:rPr>
          <w:sz w:val="24"/>
          <w:szCs w:val="24"/>
          <w:lang w:eastAsia="hr-HR"/>
        </w:rPr>
        <w:t xml:space="preserve">Osnivač Agencije je Republika Hrvatska, a osnivačka prava ostvaruje Hrvatski sabor. </w:t>
      </w:r>
      <w:r w:rsidRPr="00A4035A">
        <w:rPr>
          <w:sz w:val="24"/>
          <w:szCs w:val="24"/>
          <w:lang w:val="hr-HR"/>
        </w:rPr>
        <w:t xml:space="preserve">Sjedište Agencije je u Zagrebu. Agencija donosi statut koji potvrđuje Hrvatski sabor. Tijela Agencije su </w:t>
      </w:r>
      <w:r w:rsidR="00D562EB" w:rsidRPr="00A4035A">
        <w:rPr>
          <w:sz w:val="24"/>
          <w:szCs w:val="24"/>
          <w:lang w:val="hr-HR"/>
        </w:rPr>
        <w:t>R</w:t>
      </w:r>
      <w:r w:rsidRPr="00A4035A">
        <w:rPr>
          <w:sz w:val="24"/>
          <w:szCs w:val="24"/>
          <w:lang w:val="hr-HR"/>
        </w:rPr>
        <w:t xml:space="preserve">avnatelj Agencije i Vijeće za elektroničke medije (Vijeće). </w:t>
      </w:r>
      <w:r w:rsidR="002B014D" w:rsidRPr="00A4035A">
        <w:rPr>
          <w:sz w:val="24"/>
          <w:szCs w:val="24"/>
          <w:lang w:eastAsia="hr-HR"/>
        </w:rPr>
        <w:t xml:space="preserve">Ravnatelj Agencije zastupa, predstavlja i rukovodi Agencijom te je odgovoran za rad stručnih službi Agencije. Predsjednik Vijeća je i </w:t>
      </w:r>
      <w:r w:rsidR="00D562EB" w:rsidRPr="00A4035A">
        <w:rPr>
          <w:sz w:val="24"/>
          <w:szCs w:val="24"/>
          <w:lang w:eastAsia="hr-HR"/>
        </w:rPr>
        <w:t>R</w:t>
      </w:r>
      <w:r w:rsidR="002B014D" w:rsidRPr="00A4035A">
        <w:rPr>
          <w:sz w:val="24"/>
          <w:szCs w:val="24"/>
          <w:lang w:eastAsia="hr-HR"/>
        </w:rPr>
        <w:t xml:space="preserve">avnatelj Agencije. Vijeće upravlja Agencijom te obavlja zadaće regulatornog tijela u području elektroničkih medija. Predsjednik Vijeća potpisuje odluke Vijeća. Agencija ima stručnu službu koja obavlja stručne, administrativne i tehničke poslove Agencije, a ustrojena je u skladu sa Statutom i drugim općim aktima Agencije. </w:t>
      </w:r>
    </w:p>
    <w:p w14:paraId="4240C4DB" w14:textId="2C520DA8" w:rsidR="00E53A71" w:rsidRPr="00A4035A" w:rsidRDefault="00E53A71" w:rsidP="0058205D">
      <w:pPr>
        <w:shd w:val="clear" w:color="auto" w:fill="FFFFFF"/>
        <w:spacing w:after="48"/>
        <w:rPr>
          <w:sz w:val="24"/>
          <w:szCs w:val="24"/>
          <w:lang w:eastAsia="hr-HR"/>
        </w:rPr>
      </w:pPr>
      <w:r w:rsidRPr="00A4035A">
        <w:rPr>
          <w:sz w:val="24"/>
          <w:szCs w:val="24"/>
          <w:lang w:eastAsia="hr-HR"/>
        </w:rPr>
        <w:t>U nadležnosti Agencije su sljedeći regulatorni i drugi poslovi:</w:t>
      </w:r>
      <w:r w:rsidR="00D562EB" w:rsidRPr="00A4035A">
        <w:rPr>
          <w:sz w:val="24"/>
          <w:szCs w:val="24"/>
          <w:lang w:eastAsia="hr-HR"/>
        </w:rPr>
        <w:t xml:space="preserve"> </w:t>
      </w:r>
      <w:r w:rsidRPr="00A4035A">
        <w:rPr>
          <w:sz w:val="24"/>
          <w:szCs w:val="24"/>
          <w:lang w:eastAsia="hr-HR"/>
        </w:rPr>
        <w:t>1. provođenje postupka davanja koncesije sukladno Zakonu o elektroničkim medijima (</w:t>
      </w:r>
      <w:r w:rsidR="00D562EB" w:rsidRPr="00A4035A">
        <w:rPr>
          <w:sz w:val="24"/>
          <w:szCs w:val="24"/>
          <w:lang w:eastAsia="hr-HR"/>
        </w:rPr>
        <w:t>ZEM</w:t>
      </w:r>
      <w:r w:rsidRPr="00A4035A">
        <w:rPr>
          <w:sz w:val="24"/>
          <w:szCs w:val="24"/>
          <w:lang w:eastAsia="hr-HR"/>
        </w:rPr>
        <w:t xml:space="preserve">), odredbama zakona i podzakonskih akata kojima se uređuju koncesije te podzakonskim aktima donesenim na temelju </w:t>
      </w:r>
      <w:r w:rsidR="00D562EB" w:rsidRPr="00A4035A">
        <w:rPr>
          <w:sz w:val="24"/>
          <w:szCs w:val="24"/>
          <w:lang w:eastAsia="hr-HR"/>
        </w:rPr>
        <w:t>ZEM-a</w:t>
      </w:r>
      <w:r w:rsidRPr="00A4035A">
        <w:rPr>
          <w:sz w:val="24"/>
          <w:szCs w:val="24"/>
          <w:lang w:eastAsia="hr-HR"/>
        </w:rPr>
        <w:t xml:space="preserve">, 2. sklapanje ugovora o koncesiji s najpovoljnijim ponuditeljem sukladno </w:t>
      </w:r>
      <w:r w:rsidR="00D562EB" w:rsidRPr="00A4035A">
        <w:rPr>
          <w:sz w:val="24"/>
          <w:szCs w:val="24"/>
          <w:lang w:eastAsia="hr-HR"/>
        </w:rPr>
        <w:t>ZEM-u</w:t>
      </w:r>
      <w:r w:rsidRPr="00A4035A">
        <w:rPr>
          <w:sz w:val="24"/>
          <w:szCs w:val="24"/>
          <w:lang w:eastAsia="hr-HR"/>
        </w:rPr>
        <w:t xml:space="preserve">, 3. donošenje odluke o oduzimanju koncesije i dopuštenja u slučajevima predviđenim Zakonom, 4. poduzimanje odgovarajuće mjere radi privremenog ograničenja slobode prenošenja audiovizualnih usluga iz drugih država sukladno članku 91. </w:t>
      </w:r>
      <w:r w:rsidR="00D562EB" w:rsidRPr="00A4035A">
        <w:rPr>
          <w:sz w:val="24"/>
          <w:szCs w:val="24"/>
          <w:lang w:eastAsia="hr-HR"/>
        </w:rPr>
        <w:t>ZEM-a</w:t>
      </w:r>
      <w:r w:rsidRPr="00A4035A">
        <w:rPr>
          <w:sz w:val="24"/>
          <w:szCs w:val="24"/>
          <w:lang w:eastAsia="hr-HR"/>
        </w:rPr>
        <w:t xml:space="preserve">, 5. provođenje postupka davanja dopuštenja za obavljanje djelatnosti pružanja audio i/ili audiovizualnih medijskih usluga na zahtjev te za satelitski, internetski, kabelski i drugi oblik prijenosa audiovizualnog i/ili radijskog programa, 6. izricanje upozorenja, obvezujućih naloga i opomena u slučaju nepoštivanja odredbi </w:t>
      </w:r>
      <w:r w:rsidR="00D562EB" w:rsidRPr="00A4035A">
        <w:rPr>
          <w:sz w:val="24"/>
          <w:szCs w:val="24"/>
          <w:lang w:eastAsia="hr-HR"/>
        </w:rPr>
        <w:t>ZEM-a</w:t>
      </w:r>
      <w:r w:rsidRPr="00A4035A">
        <w:rPr>
          <w:sz w:val="24"/>
          <w:szCs w:val="24"/>
          <w:lang w:eastAsia="hr-HR"/>
        </w:rPr>
        <w:t xml:space="preserve"> i podzakonskih akata i/ili podnošenje optužnih prijedloga sukladno prekršajnim odredbama </w:t>
      </w:r>
      <w:r w:rsidR="00D562EB" w:rsidRPr="00A4035A">
        <w:rPr>
          <w:sz w:val="24"/>
          <w:szCs w:val="24"/>
          <w:lang w:eastAsia="hr-HR"/>
        </w:rPr>
        <w:t>ZEM-a</w:t>
      </w:r>
      <w:r w:rsidRPr="00A4035A">
        <w:rPr>
          <w:sz w:val="24"/>
          <w:szCs w:val="24"/>
          <w:lang w:eastAsia="hr-HR"/>
        </w:rPr>
        <w:t xml:space="preserve"> i zakona kojim se uređuju prekršaji, 7. vođenje Upisnika pružatelja medijskih usluga, 8. provođenje odredbi </w:t>
      </w:r>
      <w:r w:rsidR="00D562EB" w:rsidRPr="00A4035A">
        <w:rPr>
          <w:sz w:val="24"/>
          <w:szCs w:val="24"/>
          <w:lang w:eastAsia="hr-HR"/>
        </w:rPr>
        <w:t>ZEM-a</w:t>
      </w:r>
      <w:r w:rsidRPr="00A4035A">
        <w:rPr>
          <w:sz w:val="24"/>
          <w:szCs w:val="24"/>
          <w:lang w:eastAsia="hr-HR"/>
        </w:rPr>
        <w:t xml:space="preserve"> koje se odnose na zaštitu pluralizma i raznovrsnosti elektroničkih medija, 9. osiguravanje nadzora nad provedbom odredbi o programskim načelima i obvezama utvrđenim ovim i posebnim zakonom, osim elektroničkih publikacija, te donošenje godišnjeg plana nadzora (monitoringa), 10. osiguravanje nadzora nad audiovizualnim i radijskim programima koji se emitiraju putem satelitskog, internetskog, kabelskog i drugog dopuštenog oblika prijenosa, 11. osiguravanje nadzora namjenskog korištenja sredstava Fonda, 12. provođenje postupka utvrđivanja nepoštivanja ili kršenja odredbi </w:t>
      </w:r>
      <w:r w:rsidR="00D562EB" w:rsidRPr="00A4035A">
        <w:rPr>
          <w:sz w:val="24"/>
          <w:szCs w:val="24"/>
          <w:lang w:eastAsia="hr-HR"/>
        </w:rPr>
        <w:t>ZEM-a</w:t>
      </w:r>
      <w:r w:rsidRPr="00A4035A">
        <w:rPr>
          <w:sz w:val="24"/>
          <w:szCs w:val="24"/>
          <w:lang w:eastAsia="hr-HR"/>
        </w:rPr>
        <w:t xml:space="preserve">, 13. razmatranje pritužbi građana na postupanje pružatelja medijskih usluga u provedbi zakona te poduzimanje mjera sukladno </w:t>
      </w:r>
      <w:r w:rsidR="00D562EB" w:rsidRPr="00A4035A">
        <w:rPr>
          <w:sz w:val="24"/>
          <w:szCs w:val="24"/>
          <w:lang w:eastAsia="hr-HR"/>
        </w:rPr>
        <w:t>ZEM-u</w:t>
      </w:r>
      <w:r w:rsidRPr="00A4035A">
        <w:rPr>
          <w:sz w:val="24"/>
          <w:szCs w:val="24"/>
          <w:lang w:eastAsia="hr-HR"/>
        </w:rPr>
        <w:t xml:space="preserve">, 14. donošenje uputa vezanih uz provedbu </w:t>
      </w:r>
      <w:r w:rsidR="00D562EB" w:rsidRPr="00A4035A">
        <w:rPr>
          <w:sz w:val="24"/>
          <w:szCs w:val="24"/>
          <w:lang w:eastAsia="hr-HR"/>
        </w:rPr>
        <w:t>ZEM-a</w:t>
      </w:r>
      <w:r w:rsidRPr="00A4035A">
        <w:rPr>
          <w:sz w:val="24"/>
          <w:szCs w:val="24"/>
          <w:lang w:eastAsia="hr-HR"/>
        </w:rPr>
        <w:t xml:space="preserve">, 15. poticanje samoregulacije i koregulacije radi provedbe </w:t>
      </w:r>
      <w:r w:rsidR="00D562EB" w:rsidRPr="00A4035A">
        <w:rPr>
          <w:sz w:val="24"/>
          <w:szCs w:val="24"/>
          <w:lang w:eastAsia="hr-HR"/>
        </w:rPr>
        <w:t>ZEM-a</w:t>
      </w:r>
      <w:r w:rsidRPr="00A4035A">
        <w:rPr>
          <w:sz w:val="24"/>
          <w:szCs w:val="24"/>
          <w:lang w:eastAsia="hr-HR"/>
        </w:rPr>
        <w:t xml:space="preserve">, 16. suradnja s regulatornim tijelima drugih država i/ili Europskom komisijom u razmjeni informacija radi provedbe </w:t>
      </w:r>
      <w:r w:rsidR="00D562EB" w:rsidRPr="00A4035A">
        <w:rPr>
          <w:sz w:val="24"/>
          <w:szCs w:val="24"/>
          <w:lang w:eastAsia="hr-HR"/>
        </w:rPr>
        <w:t>ZEM-a</w:t>
      </w:r>
      <w:r w:rsidR="007C06BB" w:rsidRPr="00A4035A">
        <w:rPr>
          <w:sz w:val="24"/>
          <w:szCs w:val="24"/>
          <w:lang w:eastAsia="hr-HR"/>
        </w:rPr>
        <w:t xml:space="preserve"> te 17</w:t>
      </w:r>
      <w:r w:rsidRPr="00A4035A">
        <w:rPr>
          <w:sz w:val="24"/>
          <w:szCs w:val="24"/>
          <w:lang w:eastAsia="hr-HR"/>
        </w:rPr>
        <w:t xml:space="preserve">. obavljanje i drugih poslova propisanih </w:t>
      </w:r>
      <w:r w:rsidR="00D562EB" w:rsidRPr="00A4035A">
        <w:rPr>
          <w:sz w:val="24"/>
          <w:szCs w:val="24"/>
          <w:lang w:eastAsia="hr-HR"/>
        </w:rPr>
        <w:t>ZEM-om</w:t>
      </w:r>
      <w:r w:rsidRPr="00A4035A">
        <w:rPr>
          <w:sz w:val="24"/>
          <w:szCs w:val="24"/>
          <w:lang w:eastAsia="hr-HR"/>
        </w:rPr>
        <w:t xml:space="preserve"> te Statutom Agencije.</w:t>
      </w:r>
    </w:p>
    <w:p w14:paraId="5B7AF1F3" w14:textId="53A9F297" w:rsidR="006E3975" w:rsidRPr="00A33403" w:rsidRDefault="006E3975" w:rsidP="00A26173">
      <w:pPr>
        <w:rPr>
          <w:color w:val="EE0000"/>
          <w:szCs w:val="22"/>
          <w:lang w:val="hr-HR"/>
        </w:rPr>
      </w:pPr>
    </w:p>
    <w:p w14:paraId="38BD1419" w14:textId="77777777" w:rsidR="00DB1029" w:rsidRPr="00A33403" w:rsidRDefault="00DB1029" w:rsidP="00A26173">
      <w:pPr>
        <w:rPr>
          <w:color w:val="EE0000"/>
          <w:szCs w:val="22"/>
          <w:lang w:val="hr-HR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347"/>
        <w:gridCol w:w="1556"/>
        <w:gridCol w:w="1556"/>
        <w:gridCol w:w="1579"/>
        <w:gridCol w:w="1556"/>
        <w:gridCol w:w="1556"/>
        <w:gridCol w:w="1056"/>
      </w:tblGrid>
      <w:tr w:rsidR="00A33403" w:rsidRPr="00A33403" w14:paraId="2F64EF61" w14:textId="77777777" w:rsidTr="00244DBE">
        <w:trPr>
          <w:jc w:val="center"/>
        </w:trPr>
        <w:tc>
          <w:tcPr>
            <w:tcW w:w="1347" w:type="dxa"/>
            <w:shd w:val="clear" w:color="auto" w:fill="B5C0D8"/>
          </w:tcPr>
          <w:p w14:paraId="6A70CCFD" w14:textId="1AE3F94F" w:rsidR="00244DBE" w:rsidRPr="00A4035A" w:rsidRDefault="00244DBE" w:rsidP="00244DBE">
            <w:pPr>
              <w:pStyle w:val="CellHeader"/>
              <w:jc w:val="center"/>
              <w:rPr>
                <w:sz w:val="22"/>
                <w:szCs w:val="24"/>
                <w:lang w:val="hr-HR"/>
              </w:rPr>
            </w:pPr>
          </w:p>
        </w:tc>
        <w:tc>
          <w:tcPr>
            <w:tcW w:w="1556" w:type="dxa"/>
            <w:shd w:val="clear" w:color="auto" w:fill="B5C0D8"/>
          </w:tcPr>
          <w:p w14:paraId="0475054B" w14:textId="3C79E0CB" w:rsidR="00244DBE" w:rsidRPr="00A4035A" w:rsidRDefault="00244DBE" w:rsidP="00244DBE">
            <w:pPr>
              <w:pStyle w:val="CellHeader"/>
              <w:jc w:val="center"/>
              <w:rPr>
                <w:sz w:val="22"/>
                <w:szCs w:val="24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Izvršenje 202</w:t>
            </w:r>
            <w:r w:rsidR="00A4035A" w:rsidRPr="00A4035A">
              <w:rPr>
                <w:rFonts w:cs="Times New Roman"/>
                <w:sz w:val="22"/>
                <w:szCs w:val="24"/>
                <w:lang w:val="hr-HR"/>
              </w:rPr>
              <w:t>4</w:t>
            </w:r>
            <w:r w:rsidRPr="00A4035A">
              <w:rPr>
                <w:rFonts w:cs="Times New Roman"/>
                <w:sz w:val="22"/>
                <w:szCs w:val="24"/>
                <w:lang w:val="hr-HR"/>
              </w:rPr>
              <w:t>.</w:t>
            </w:r>
          </w:p>
        </w:tc>
        <w:tc>
          <w:tcPr>
            <w:tcW w:w="1556" w:type="dxa"/>
            <w:shd w:val="clear" w:color="auto" w:fill="B5C0D8"/>
          </w:tcPr>
          <w:p w14:paraId="1858B9A2" w14:textId="7A27B44F" w:rsidR="00244DBE" w:rsidRPr="00A4035A" w:rsidRDefault="00244DBE" w:rsidP="00244DBE">
            <w:pPr>
              <w:pStyle w:val="CellHeader"/>
              <w:jc w:val="center"/>
              <w:rPr>
                <w:sz w:val="22"/>
                <w:szCs w:val="24"/>
                <w:highlight w:val="yellow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Rebalans 202</w:t>
            </w:r>
            <w:r w:rsidR="00A4035A" w:rsidRPr="00A4035A">
              <w:rPr>
                <w:rFonts w:cs="Times New Roman"/>
                <w:sz w:val="22"/>
                <w:szCs w:val="24"/>
                <w:lang w:val="hr-HR"/>
              </w:rPr>
              <w:t>5</w:t>
            </w:r>
            <w:r w:rsidRPr="00A4035A">
              <w:rPr>
                <w:rFonts w:cs="Times New Roman"/>
                <w:sz w:val="22"/>
                <w:szCs w:val="24"/>
                <w:lang w:val="hr-HR"/>
              </w:rPr>
              <w:t>.</w:t>
            </w:r>
          </w:p>
        </w:tc>
        <w:tc>
          <w:tcPr>
            <w:tcW w:w="1579" w:type="dxa"/>
            <w:shd w:val="clear" w:color="auto" w:fill="B5C0D8"/>
          </w:tcPr>
          <w:p w14:paraId="1ED635D9" w14:textId="29489363" w:rsidR="00244DBE" w:rsidRPr="00A4035A" w:rsidRDefault="00244DBE" w:rsidP="00244DBE">
            <w:pPr>
              <w:pStyle w:val="CellHeader"/>
              <w:jc w:val="center"/>
              <w:rPr>
                <w:sz w:val="22"/>
                <w:szCs w:val="24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Plan 202</w:t>
            </w:r>
            <w:r w:rsidR="00A4035A" w:rsidRPr="00A4035A">
              <w:rPr>
                <w:rFonts w:cs="Times New Roman"/>
                <w:sz w:val="22"/>
                <w:szCs w:val="24"/>
                <w:lang w:val="hr-HR"/>
              </w:rPr>
              <w:t>6</w:t>
            </w:r>
            <w:r w:rsidRPr="00A4035A">
              <w:rPr>
                <w:rFonts w:cs="Times New Roman"/>
                <w:sz w:val="22"/>
                <w:szCs w:val="24"/>
                <w:lang w:val="hr-HR"/>
              </w:rPr>
              <w:t>.</w:t>
            </w:r>
          </w:p>
        </w:tc>
        <w:tc>
          <w:tcPr>
            <w:tcW w:w="1556" w:type="dxa"/>
            <w:shd w:val="clear" w:color="auto" w:fill="B5C0D8"/>
          </w:tcPr>
          <w:p w14:paraId="1ADC8FF0" w14:textId="386C7467" w:rsidR="00244DBE" w:rsidRPr="00A4035A" w:rsidRDefault="00244DBE" w:rsidP="00244DBE">
            <w:pPr>
              <w:pStyle w:val="CellHeader"/>
              <w:jc w:val="center"/>
              <w:rPr>
                <w:sz w:val="22"/>
                <w:szCs w:val="24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</w:t>
            </w:r>
            <w:r w:rsidR="00A4035A" w:rsidRPr="00A4035A">
              <w:rPr>
                <w:rFonts w:cs="Times New Roman"/>
                <w:sz w:val="22"/>
                <w:szCs w:val="24"/>
                <w:lang w:val="hr-HR"/>
              </w:rPr>
              <w:t>7</w:t>
            </w:r>
            <w:r w:rsidRPr="00A4035A">
              <w:rPr>
                <w:rFonts w:cs="Times New Roman"/>
                <w:sz w:val="22"/>
                <w:szCs w:val="24"/>
                <w:lang w:val="hr-HR"/>
              </w:rPr>
              <w:t>.</w:t>
            </w:r>
          </w:p>
        </w:tc>
        <w:tc>
          <w:tcPr>
            <w:tcW w:w="1556" w:type="dxa"/>
            <w:shd w:val="clear" w:color="auto" w:fill="B5C0D8"/>
          </w:tcPr>
          <w:p w14:paraId="1A8AB651" w14:textId="0EE7D237" w:rsidR="00244DBE" w:rsidRPr="00A4035A" w:rsidRDefault="00244DBE" w:rsidP="00244DBE">
            <w:pPr>
              <w:pStyle w:val="CellHeader"/>
              <w:jc w:val="center"/>
              <w:rPr>
                <w:sz w:val="22"/>
                <w:szCs w:val="24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</w:t>
            </w:r>
            <w:r w:rsidR="00A4035A" w:rsidRPr="00A4035A">
              <w:rPr>
                <w:rFonts w:cs="Times New Roman"/>
                <w:sz w:val="22"/>
                <w:szCs w:val="24"/>
                <w:lang w:val="hr-HR"/>
              </w:rPr>
              <w:t>8</w:t>
            </w:r>
            <w:r w:rsidRPr="00A4035A">
              <w:rPr>
                <w:rFonts w:cs="Times New Roman"/>
                <w:sz w:val="22"/>
                <w:szCs w:val="24"/>
                <w:lang w:val="hr-HR"/>
              </w:rPr>
              <w:t>.</w:t>
            </w:r>
          </w:p>
        </w:tc>
        <w:tc>
          <w:tcPr>
            <w:tcW w:w="1056" w:type="dxa"/>
            <w:shd w:val="clear" w:color="auto" w:fill="B5C0D8"/>
          </w:tcPr>
          <w:p w14:paraId="568109E1" w14:textId="3468102C" w:rsidR="00244DBE" w:rsidRPr="00A4035A" w:rsidRDefault="00244DBE" w:rsidP="00244DBE">
            <w:pPr>
              <w:pStyle w:val="CellHeader"/>
              <w:jc w:val="center"/>
              <w:rPr>
                <w:sz w:val="22"/>
                <w:szCs w:val="24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Indeks 202</w:t>
            </w:r>
            <w:r w:rsidR="00A4035A" w:rsidRPr="00A4035A">
              <w:rPr>
                <w:rFonts w:cs="Times New Roman"/>
                <w:sz w:val="22"/>
                <w:szCs w:val="24"/>
                <w:lang w:val="hr-HR"/>
              </w:rPr>
              <w:t>6</w:t>
            </w:r>
            <w:r w:rsidRPr="00A4035A">
              <w:rPr>
                <w:rFonts w:cs="Times New Roman"/>
                <w:sz w:val="22"/>
                <w:szCs w:val="24"/>
                <w:lang w:val="hr-HR"/>
              </w:rPr>
              <w:t>/202</w:t>
            </w:r>
            <w:r w:rsidR="00A4035A" w:rsidRPr="00A4035A">
              <w:rPr>
                <w:rFonts w:cs="Times New Roman"/>
                <w:sz w:val="22"/>
                <w:szCs w:val="24"/>
                <w:lang w:val="hr-HR"/>
              </w:rPr>
              <w:t>5</w:t>
            </w:r>
          </w:p>
        </w:tc>
      </w:tr>
      <w:tr w:rsidR="00244DBE" w:rsidRPr="00A33403" w14:paraId="455A2079" w14:textId="77777777" w:rsidTr="00244DBE">
        <w:trPr>
          <w:jc w:val="center"/>
        </w:trPr>
        <w:tc>
          <w:tcPr>
            <w:tcW w:w="1347" w:type="dxa"/>
          </w:tcPr>
          <w:p w14:paraId="4E4032A1" w14:textId="77777777" w:rsidR="00244DBE" w:rsidRPr="00A4035A" w:rsidRDefault="00244DBE" w:rsidP="00244DBE">
            <w:pPr>
              <w:pStyle w:val="CellColumn"/>
              <w:jc w:val="left"/>
              <w:rPr>
                <w:sz w:val="22"/>
                <w:szCs w:val="24"/>
                <w:highlight w:val="yellow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49075</w:t>
            </w:r>
          </w:p>
        </w:tc>
        <w:tc>
          <w:tcPr>
            <w:tcW w:w="1556" w:type="dxa"/>
          </w:tcPr>
          <w:p w14:paraId="0FE334E4" w14:textId="3AE4DCA2" w:rsidR="00244DBE" w:rsidRPr="00A4035A" w:rsidRDefault="00A4035A" w:rsidP="00244DBE">
            <w:pPr>
              <w:jc w:val="right"/>
              <w:rPr>
                <w:sz w:val="22"/>
                <w:szCs w:val="24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8.500.680,71</w:t>
            </w:r>
            <w:r w:rsidR="00244DBE" w:rsidRPr="00A4035A">
              <w:rPr>
                <w:sz w:val="22"/>
                <w:szCs w:val="24"/>
                <w:lang w:val="hr-HR"/>
              </w:rPr>
              <w:t xml:space="preserve"> €</w:t>
            </w:r>
          </w:p>
        </w:tc>
        <w:tc>
          <w:tcPr>
            <w:tcW w:w="1556" w:type="dxa"/>
          </w:tcPr>
          <w:p w14:paraId="1A70BF9C" w14:textId="654C1C6B" w:rsidR="00244DBE" w:rsidRPr="00A4035A" w:rsidRDefault="00A4035A" w:rsidP="00244DBE">
            <w:pPr>
              <w:jc w:val="right"/>
              <w:rPr>
                <w:sz w:val="22"/>
                <w:szCs w:val="24"/>
                <w:highlight w:val="yellow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11.026.144,41</w:t>
            </w:r>
            <w:r w:rsidR="00244DBE" w:rsidRPr="00A4035A">
              <w:rPr>
                <w:sz w:val="22"/>
                <w:szCs w:val="24"/>
                <w:lang w:val="hr-HR"/>
              </w:rPr>
              <w:t xml:space="preserve"> €</w:t>
            </w:r>
          </w:p>
        </w:tc>
        <w:tc>
          <w:tcPr>
            <w:tcW w:w="1579" w:type="dxa"/>
          </w:tcPr>
          <w:p w14:paraId="727380A9" w14:textId="6DF5E366" w:rsidR="00244DBE" w:rsidRPr="00A4035A" w:rsidRDefault="00244DBE" w:rsidP="00244DBE">
            <w:pPr>
              <w:jc w:val="right"/>
              <w:rPr>
                <w:sz w:val="22"/>
                <w:szCs w:val="24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11.</w:t>
            </w:r>
            <w:r w:rsidR="00A4035A" w:rsidRPr="00A4035A">
              <w:rPr>
                <w:sz w:val="22"/>
                <w:szCs w:val="24"/>
                <w:lang w:val="hr-HR"/>
              </w:rPr>
              <w:t>884.135,00</w:t>
            </w:r>
            <w:r w:rsidRPr="00A4035A">
              <w:rPr>
                <w:sz w:val="22"/>
                <w:szCs w:val="24"/>
                <w:lang w:val="hr-HR"/>
              </w:rPr>
              <w:t xml:space="preserve"> €</w:t>
            </w:r>
          </w:p>
        </w:tc>
        <w:tc>
          <w:tcPr>
            <w:tcW w:w="1556" w:type="dxa"/>
          </w:tcPr>
          <w:p w14:paraId="541BCE0D" w14:textId="5943F1D3" w:rsidR="00244DBE" w:rsidRPr="00A4035A" w:rsidRDefault="00A4035A" w:rsidP="00244DBE">
            <w:pPr>
              <w:jc w:val="right"/>
              <w:rPr>
                <w:sz w:val="22"/>
                <w:szCs w:val="24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8.578.336</w:t>
            </w:r>
            <w:r w:rsidR="004A6A98" w:rsidRPr="00A4035A">
              <w:rPr>
                <w:sz w:val="22"/>
                <w:szCs w:val="24"/>
                <w:lang w:val="hr-HR"/>
              </w:rPr>
              <w:t>,00</w:t>
            </w:r>
            <w:r w:rsidR="00244DBE" w:rsidRPr="00A4035A">
              <w:rPr>
                <w:sz w:val="22"/>
                <w:szCs w:val="24"/>
                <w:lang w:val="hr-HR"/>
              </w:rPr>
              <w:t xml:space="preserve"> €</w:t>
            </w:r>
          </w:p>
        </w:tc>
        <w:tc>
          <w:tcPr>
            <w:tcW w:w="1556" w:type="dxa"/>
          </w:tcPr>
          <w:p w14:paraId="49BCAFE6" w14:textId="24504B2F" w:rsidR="00244DBE" w:rsidRPr="00A4035A" w:rsidRDefault="00A4035A" w:rsidP="00244DBE">
            <w:pPr>
              <w:jc w:val="right"/>
              <w:rPr>
                <w:sz w:val="22"/>
                <w:szCs w:val="24"/>
                <w:highlight w:val="yellow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7.543.733</w:t>
            </w:r>
            <w:r w:rsidR="004A6A98" w:rsidRPr="00A4035A">
              <w:rPr>
                <w:sz w:val="22"/>
                <w:szCs w:val="24"/>
                <w:lang w:val="hr-HR"/>
              </w:rPr>
              <w:t>,00</w:t>
            </w:r>
            <w:r w:rsidR="00244DBE" w:rsidRPr="00A4035A">
              <w:rPr>
                <w:sz w:val="22"/>
                <w:szCs w:val="24"/>
                <w:lang w:val="hr-HR"/>
              </w:rPr>
              <w:t xml:space="preserve"> €</w:t>
            </w:r>
          </w:p>
        </w:tc>
        <w:tc>
          <w:tcPr>
            <w:tcW w:w="1056" w:type="dxa"/>
          </w:tcPr>
          <w:p w14:paraId="66B4E8F6" w14:textId="54C52798" w:rsidR="00244DBE" w:rsidRPr="00A4035A" w:rsidRDefault="00A4035A" w:rsidP="00244DBE">
            <w:pPr>
              <w:jc w:val="center"/>
              <w:rPr>
                <w:sz w:val="22"/>
                <w:szCs w:val="24"/>
                <w:highlight w:val="yellow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107</w:t>
            </w:r>
          </w:p>
        </w:tc>
      </w:tr>
    </w:tbl>
    <w:p w14:paraId="2D9CAC82" w14:textId="76F2A521" w:rsidR="00A26173" w:rsidRPr="00A33403" w:rsidRDefault="00A26173" w:rsidP="00A26173">
      <w:pPr>
        <w:jc w:val="left"/>
        <w:rPr>
          <w:color w:val="EE0000"/>
          <w:lang w:val="hr-HR"/>
        </w:rPr>
      </w:pPr>
    </w:p>
    <w:p w14:paraId="55B5E31D" w14:textId="77777777" w:rsidR="0050521D" w:rsidRPr="00A33403" w:rsidRDefault="0050521D" w:rsidP="00A26173">
      <w:pPr>
        <w:jc w:val="left"/>
        <w:rPr>
          <w:color w:val="EE0000"/>
          <w:lang w:val="hr-HR"/>
        </w:rPr>
      </w:pPr>
    </w:p>
    <w:p w14:paraId="74F662D7" w14:textId="77777777" w:rsidR="00DB1029" w:rsidRPr="00A33403" w:rsidRDefault="00DB1029" w:rsidP="00A26173">
      <w:pPr>
        <w:jc w:val="left"/>
        <w:rPr>
          <w:color w:val="EE0000"/>
          <w:lang w:val="hr-HR"/>
        </w:rPr>
      </w:pPr>
    </w:p>
    <w:p w14:paraId="0727DA8A" w14:textId="77777777" w:rsidR="00DB1029" w:rsidRPr="00A33403" w:rsidRDefault="00DB1029" w:rsidP="00A26173">
      <w:pPr>
        <w:jc w:val="left"/>
        <w:rPr>
          <w:color w:val="EE0000"/>
          <w:lang w:val="hr-HR"/>
        </w:rPr>
      </w:pPr>
    </w:p>
    <w:p w14:paraId="1D9B5A2E" w14:textId="77777777" w:rsidR="00DB1029" w:rsidRPr="00A33403" w:rsidRDefault="00DB1029" w:rsidP="00A26173">
      <w:pPr>
        <w:jc w:val="left"/>
        <w:rPr>
          <w:color w:val="EE0000"/>
          <w:lang w:val="hr-HR"/>
        </w:rPr>
      </w:pPr>
    </w:p>
    <w:p w14:paraId="70C07E83" w14:textId="77777777" w:rsidR="00DB1029" w:rsidRPr="00A33403" w:rsidRDefault="00DB1029" w:rsidP="00A26173">
      <w:pPr>
        <w:jc w:val="left"/>
        <w:rPr>
          <w:color w:val="EE0000"/>
          <w:lang w:val="hr-HR"/>
        </w:rPr>
      </w:pPr>
    </w:p>
    <w:p w14:paraId="714608D2" w14:textId="77777777" w:rsidR="00DB1029" w:rsidRPr="00A33403" w:rsidRDefault="00DB1029" w:rsidP="00A26173">
      <w:pPr>
        <w:jc w:val="left"/>
        <w:rPr>
          <w:color w:val="EE0000"/>
          <w:lang w:val="hr-HR"/>
        </w:rPr>
      </w:pPr>
    </w:p>
    <w:p w14:paraId="6E92B5F0" w14:textId="77777777" w:rsidR="00A26173" w:rsidRPr="00B34B21" w:rsidRDefault="00A26173" w:rsidP="00A26173">
      <w:pPr>
        <w:pStyle w:val="Heading3"/>
        <w:rPr>
          <w:lang w:val="hr-HR"/>
        </w:rPr>
      </w:pPr>
      <w:r w:rsidRPr="00B34B21">
        <w:rPr>
          <w:rFonts w:cs="Times New Roman"/>
          <w:lang w:val="hr-HR"/>
        </w:rPr>
        <w:t>3906 PROGRAMI AUDIO VIZUALNE DJELATNOSTI I MEDIJA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333"/>
        <w:gridCol w:w="1559"/>
        <w:gridCol w:w="1559"/>
        <w:gridCol w:w="1581"/>
        <w:gridCol w:w="1559"/>
        <w:gridCol w:w="1559"/>
        <w:gridCol w:w="1056"/>
      </w:tblGrid>
      <w:tr w:rsidR="00B34B21" w:rsidRPr="00A33403" w14:paraId="3094540A" w14:textId="77777777" w:rsidTr="00244DBE">
        <w:trPr>
          <w:jc w:val="center"/>
        </w:trPr>
        <w:tc>
          <w:tcPr>
            <w:tcW w:w="1333" w:type="dxa"/>
            <w:shd w:val="clear" w:color="auto" w:fill="B5C0D8"/>
          </w:tcPr>
          <w:p w14:paraId="0D5AB9AB" w14:textId="4CB6C658" w:rsidR="00B34B21" w:rsidRPr="00A33403" w:rsidRDefault="00B34B21" w:rsidP="00B34B21">
            <w:pPr>
              <w:pStyle w:val="CellHeader"/>
              <w:rPr>
                <w:color w:val="EE0000"/>
                <w:sz w:val="22"/>
                <w:lang w:val="hr-HR"/>
              </w:rPr>
            </w:pPr>
          </w:p>
        </w:tc>
        <w:tc>
          <w:tcPr>
            <w:tcW w:w="1559" w:type="dxa"/>
            <w:shd w:val="clear" w:color="auto" w:fill="B5C0D8"/>
          </w:tcPr>
          <w:p w14:paraId="6C9183CD" w14:textId="4F34D118" w:rsidR="00B34B21" w:rsidRPr="00A33403" w:rsidRDefault="00B34B21" w:rsidP="00B34B21">
            <w:pPr>
              <w:pStyle w:val="CellHeader"/>
              <w:jc w:val="center"/>
              <w:rPr>
                <w:color w:val="EE0000"/>
                <w:sz w:val="22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Izvršenje 2024.</w:t>
            </w:r>
          </w:p>
        </w:tc>
        <w:tc>
          <w:tcPr>
            <w:tcW w:w="1559" w:type="dxa"/>
            <w:shd w:val="clear" w:color="auto" w:fill="B5C0D8"/>
          </w:tcPr>
          <w:p w14:paraId="257A2F88" w14:textId="02089D61" w:rsidR="00B34B21" w:rsidRPr="00A33403" w:rsidRDefault="00B34B21" w:rsidP="00B34B21">
            <w:pPr>
              <w:pStyle w:val="CellHeader"/>
              <w:jc w:val="center"/>
              <w:rPr>
                <w:color w:val="EE0000"/>
                <w:sz w:val="22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Rebalans 2025.</w:t>
            </w:r>
          </w:p>
        </w:tc>
        <w:tc>
          <w:tcPr>
            <w:tcW w:w="1581" w:type="dxa"/>
            <w:shd w:val="clear" w:color="auto" w:fill="B5C0D8"/>
          </w:tcPr>
          <w:p w14:paraId="5B7E4926" w14:textId="16EC0BCC" w:rsidR="00B34B21" w:rsidRPr="00A33403" w:rsidRDefault="00B34B21" w:rsidP="00B34B21">
            <w:pPr>
              <w:pStyle w:val="CellHeader"/>
              <w:jc w:val="center"/>
              <w:rPr>
                <w:color w:val="EE0000"/>
                <w:sz w:val="22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Plan 2026.</w:t>
            </w:r>
          </w:p>
        </w:tc>
        <w:tc>
          <w:tcPr>
            <w:tcW w:w="1559" w:type="dxa"/>
            <w:shd w:val="clear" w:color="auto" w:fill="B5C0D8"/>
          </w:tcPr>
          <w:p w14:paraId="16C9215B" w14:textId="5D5F2DBE" w:rsidR="00B34B21" w:rsidRPr="00A33403" w:rsidRDefault="00B34B21" w:rsidP="00B34B21">
            <w:pPr>
              <w:pStyle w:val="CellHeader"/>
              <w:jc w:val="center"/>
              <w:rPr>
                <w:color w:val="EE0000"/>
                <w:sz w:val="22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2027.</w:t>
            </w:r>
          </w:p>
        </w:tc>
        <w:tc>
          <w:tcPr>
            <w:tcW w:w="1559" w:type="dxa"/>
            <w:shd w:val="clear" w:color="auto" w:fill="B5C0D8"/>
          </w:tcPr>
          <w:p w14:paraId="3D115EC6" w14:textId="43DCBD1C" w:rsidR="00B34B21" w:rsidRPr="00A33403" w:rsidRDefault="00B34B21" w:rsidP="00B34B21">
            <w:pPr>
              <w:pStyle w:val="CellHeader"/>
              <w:jc w:val="center"/>
              <w:rPr>
                <w:color w:val="EE0000"/>
                <w:sz w:val="22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2028.</w:t>
            </w:r>
          </w:p>
        </w:tc>
        <w:tc>
          <w:tcPr>
            <w:tcW w:w="1056" w:type="dxa"/>
            <w:shd w:val="clear" w:color="auto" w:fill="B5C0D8"/>
          </w:tcPr>
          <w:p w14:paraId="5E6DAD0A" w14:textId="3BD17AE6" w:rsidR="00B34B21" w:rsidRPr="00A33403" w:rsidRDefault="00B34B21" w:rsidP="00B34B21">
            <w:pPr>
              <w:pStyle w:val="CellHeader"/>
              <w:jc w:val="center"/>
              <w:rPr>
                <w:color w:val="EE0000"/>
                <w:sz w:val="22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Indeks 2026/2025</w:t>
            </w:r>
          </w:p>
        </w:tc>
      </w:tr>
      <w:tr w:rsidR="001E175C" w:rsidRPr="00A33403" w14:paraId="5B77BFF3" w14:textId="77777777" w:rsidTr="00983EF4">
        <w:trPr>
          <w:jc w:val="center"/>
        </w:trPr>
        <w:tc>
          <w:tcPr>
            <w:tcW w:w="1333" w:type="dxa"/>
            <w:vAlign w:val="top"/>
          </w:tcPr>
          <w:p w14:paraId="4568E3B1" w14:textId="77777777" w:rsidR="001E175C" w:rsidRPr="00A33403" w:rsidRDefault="001E175C" w:rsidP="001E175C">
            <w:pPr>
              <w:pStyle w:val="CellColumn"/>
              <w:jc w:val="left"/>
              <w:rPr>
                <w:color w:val="EE0000"/>
                <w:sz w:val="22"/>
                <w:highlight w:val="yellow"/>
                <w:lang w:val="hr-HR"/>
              </w:rPr>
            </w:pPr>
            <w:r w:rsidRPr="001E175C">
              <w:rPr>
                <w:rFonts w:cs="Times New Roman"/>
                <w:sz w:val="22"/>
                <w:lang w:val="hr-HR"/>
              </w:rPr>
              <w:t>3906</w:t>
            </w:r>
          </w:p>
        </w:tc>
        <w:tc>
          <w:tcPr>
            <w:tcW w:w="1559" w:type="dxa"/>
          </w:tcPr>
          <w:p w14:paraId="63F3D1E5" w14:textId="2DD8C8B3" w:rsidR="001E175C" w:rsidRPr="00A33403" w:rsidRDefault="001E175C" w:rsidP="001E175C">
            <w:pPr>
              <w:jc w:val="right"/>
              <w:rPr>
                <w:color w:val="EE0000"/>
                <w:sz w:val="22"/>
                <w:szCs w:val="22"/>
                <w:highlight w:val="yellow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8.500.680,71 €</w:t>
            </w:r>
          </w:p>
        </w:tc>
        <w:tc>
          <w:tcPr>
            <w:tcW w:w="1559" w:type="dxa"/>
          </w:tcPr>
          <w:p w14:paraId="1BC81ACE" w14:textId="1B03081B" w:rsidR="001E175C" w:rsidRPr="00A33403" w:rsidRDefault="001E175C" w:rsidP="001E175C">
            <w:pPr>
              <w:jc w:val="right"/>
              <w:rPr>
                <w:color w:val="EE0000"/>
                <w:sz w:val="22"/>
                <w:szCs w:val="22"/>
                <w:highlight w:val="yellow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11.026.144,41 €</w:t>
            </w:r>
          </w:p>
        </w:tc>
        <w:tc>
          <w:tcPr>
            <w:tcW w:w="1581" w:type="dxa"/>
          </w:tcPr>
          <w:p w14:paraId="66B917CA" w14:textId="56E76C28" w:rsidR="001E175C" w:rsidRPr="00A33403" w:rsidRDefault="001E175C" w:rsidP="001E175C">
            <w:pPr>
              <w:jc w:val="right"/>
              <w:rPr>
                <w:color w:val="EE0000"/>
                <w:sz w:val="22"/>
                <w:szCs w:val="22"/>
                <w:highlight w:val="yellow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11.884.135,00 €</w:t>
            </w:r>
          </w:p>
        </w:tc>
        <w:tc>
          <w:tcPr>
            <w:tcW w:w="1559" w:type="dxa"/>
          </w:tcPr>
          <w:p w14:paraId="65D2A11C" w14:textId="683109A5" w:rsidR="001E175C" w:rsidRPr="00A33403" w:rsidRDefault="001E175C" w:rsidP="001E175C">
            <w:pPr>
              <w:jc w:val="right"/>
              <w:rPr>
                <w:color w:val="EE0000"/>
                <w:sz w:val="22"/>
                <w:szCs w:val="22"/>
                <w:highlight w:val="yellow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8.578.336,00 €</w:t>
            </w:r>
          </w:p>
        </w:tc>
        <w:tc>
          <w:tcPr>
            <w:tcW w:w="1559" w:type="dxa"/>
          </w:tcPr>
          <w:p w14:paraId="5C7B8B42" w14:textId="49F286D7" w:rsidR="001E175C" w:rsidRPr="00A33403" w:rsidRDefault="001E175C" w:rsidP="001E175C">
            <w:pPr>
              <w:jc w:val="right"/>
              <w:rPr>
                <w:color w:val="EE0000"/>
                <w:sz w:val="22"/>
                <w:szCs w:val="22"/>
                <w:highlight w:val="yellow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7.543.733,00 €</w:t>
            </w:r>
          </w:p>
        </w:tc>
        <w:tc>
          <w:tcPr>
            <w:tcW w:w="1056" w:type="dxa"/>
          </w:tcPr>
          <w:p w14:paraId="0A9A45E3" w14:textId="3EFCD4C8" w:rsidR="001E175C" w:rsidRPr="00A33403" w:rsidRDefault="001E175C" w:rsidP="001E175C">
            <w:pPr>
              <w:jc w:val="right"/>
              <w:rPr>
                <w:color w:val="EE0000"/>
                <w:sz w:val="22"/>
                <w:szCs w:val="22"/>
                <w:highlight w:val="yellow"/>
                <w:lang w:val="hr-HR"/>
              </w:rPr>
            </w:pPr>
            <w:r w:rsidRPr="00A4035A">
              <w:rPr>
                <w:sz w:val="22"/>
                <w:szCs w:val="24"/>
                <w:lang w:val="hr-HR"/>
              </w:rPr>
              <w:t>107</w:t>
            </w:r>
          </w:p>
        </w:tc>
      </w:tr>
    </w:tbl>
    <w:p w14:paraId="0E78D4AD" w14:textId="77777777" w:rsidR="00CE7EEA" w:rsidRPr="00A33403" w:rsidRDefault="00CE7EEA" w:rsidP="00A26173">
      <w:pPr>
        <w:rPr>
          <w:color w:val="EE0000"/>
          <w:lang w:val="hr-HR"/>
        </w:rPr>
      </w:pPr>
    </w:p>
    <w:p w14:paraId="2F395396" w14:textId="77777777" w:rsidR="00A26173" w:rsidRPr="00A33403" w:rsidRDefault="00A26173" w:rsidP="00A26173">
      <w:pPr>
        <w:rPr>
          <w:color w:val="EE0000"/>
          <w:lang w:val="hr-HR"/>
        </w:rPr>
      </w:pPr>
    </w:p>
    <w:p w14:paraId="45486E72" w14:textId="359CF955" w:rsidR="00A26173" w:rsidRPr="001E175C" w:rsidRDefault="00A26173" w:rsidP="00A26173">
      <w:pPr>
        <w:pStyle w:val="Heading4"/>
        <w:rPr>
          <w:lang w:val="hr-HR"/>
        </w:rPr>
      </w:pPr>
      <w:r w:rsidRPr="001E175C">
        <w:rPr>
          <w:lang w:val="hr-HR"/>
        </w:rPr>
        <w:t>A908001 ADMINISTRACIJA I UPRAVLJANJE</w:t>
      </w:r>
      <w:r w:rsidR="00B51433" w:rsidRPr="001E175C">
        <w:rPr>
          <w:lang w:val="hr-HR"/>
        </w:rPr>
        <w:t xml:space="preserve"> (IZ EVIDENCIJSKIH PRIHODA)</w:t>
      </w:r>
    </w:p>
    <w:p w14:paraId="06C1D3CC" w14:textId="05432DC4" w:rsidR="00A26173" w:rsidRPr="001E175C" w:rsidRDefault="00A26173" w:rsidP="00A26173">
      <w:pPr>
        <w:pStyle w:val="Heading8"/>
        <w:jc w:val="left"/>
        <w:rPr>
          <w:lang w:val="hr-HR"/>
        </w:rPr>
      </w:pPr>
      <w:r w:rsidRPr="001E175C">
        <w:rPr>
          <w:lang w:val="hr-HR"/>
        </w:rPr>
        <w:t>Zakonske i druge pravne osnove</w:t>
      </w:r>
      <w:r w:rsidR="004266CD" w:rsidRPr="001E175C">
        <w:rPr>
          <w:lang w:val="hr-HR"/>
        </w:rPr>
        <w:t xml:space="preserve"> </w:t>
      </w:r>
    </w:p>
    <w:p w14:paraId="54E6FE6B" w14:textId="289D05A0" w:rsidR="00A26173" w:rsidRPr="001E175C" w:rsidRDefault="00CB470D" w:rsidP="006E3975">
      <w:pPr>
        <w:rPr>
          <w:lang w:val="hr-HR"/>
        </w:rPr>
      </w:pPr>
      <w:r w:rsidRPr="001E175C">
        <w:rPr>
          <w:lang w:val="hr-HR"/>
        </w:rPr>
        <w:t xml:space="preserve">Zakon o elektroničkim medijima, </w:t>
      </w:r>
      <w:r w:rsidR="006E3975" w:rsidRPr="001E175C">
        <w:rPr>
          <w:lang w:val="hr-HR"/>
        </w:rPr>
        <w:t>Zak</w:t>
      </w:r>
      <w:r w:rsidRPr="001E175C">
        <w:rPr>
          <w:lang w:val="hr-HR"/>
        </w:rPr>
        <w:t xml:space="preserve">on o Hrvatskoj radioteleviziji, Zakon o medijima,, Zakon o koncesijama, </w:t>
      </w:r>
      <w:r w:rsidR="006E3975" w:rsidRPr="001E175C">
        <w:rPr>
          <w:lang w:val="hr-HR"/>
        </w:rPr>
        <w:t xml:space="preserve">Zakon </w:t>
      </w:r>
      <w:r w:rsidRPr="001E175C">
        <w:rPr>
          <w:lang w:val="hr-HR"/>
        </w:rPr>
        <w:t xml:space="preserve">o elektroničkim komunikacijama, </w:t>
      </w:r>
      <w:r w:rsidR="006E3975" w:rsidRPr="001E175C">
        <w:rPr>
          <w:lang w:val="hr-HR"/>
        </w:rPr>
        <w:t>Zakon o drž</w:t>
      </w:r>
      <w:r w:rsidRPr="001E175C">
        <w:rPr>
          <w:lang w:val="hr-HR"/>
        </w:rPr>
        <w:t xml:space="preserve">avnim potporama, </w:t>
      </w:r>
      <w:r w:rsidR="006E3975" w:rsidRPr="001E175C">
        <w:rPr>
          <w:lang w:val="hr-HR"/>
        </w:rPr>
        <w:t xml:space="preserve">Zakon </w:t>
      </w:r>
      <w:r w:rsidRPr="001E175C">
        <w:rPr>
          <w:lang w:val="hr-HR"/>
        </w:rPr>
        <w:t xml:space="preserve">o audiovizualnim djelatnostima, </w:t>
      </w:r>
      <w:r w:rsidR="006E3975" w:rsidRPr="001E175C">
        <w:rPr>
          <w:lang w:val="hr-HR"/>
        </w:rPr>
        <w:t>Zakon o nedopuštenom oglašavanju i drugi.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18"/>
        <w:gridCol w:w="1548"/>
        <w:gridCol w:w="1546"/>
        <w:gridCol w:w="1546"/>
        <w:gridCol w:w="1546"/>
        <w:gridCol w:w="1546"/>
        <w:gridCol w:w="1056"/>
      </w:tblGrid>
      <w:tr w:rsidR="00B34B21" w:rsidRPr="00A33403" w14:paraId="0B458D44" w14:textId="77777777" w:rsidTr="00C21F3C">
        <w:trPr>
          <w:jc w:val="center"/>
        </w:trPr>
        <w:tc>
          <w:tcPr>
            <w:tcW w:w="1435" w:type="dxa"/>
            <w:shd w:val="clear" w:color="auto" w:fill="B5C0D8"/>
          </w:tcPr>
          <w:p w14:paraId="3CBB2963" w14:textId="72218E49" w:rsidR="00B34B21" w:rsidRPr="001E175C" w:rsidRDefault="00B34B21" w:rsidP="00B34B21">
            <w:pPr>
              <w:pStyle w:val="CellHeader"/>
              <w:jc w:val="center"/>
              <w:rPr>
                <w:lang w:val="hr-HR"/>
              </w:rPr>
            </w:pPr>
            <w:r w:rsidRPr="001E175C">
              <w:rPr>
                <w:rFonts w:cs="Times New Roman"/>
                <w:lang w:val="hr-HR"/>
              </w:rPr>
              <w:t>Naziv aktivnosti</w:t>
            </w:r>
          </w:p>
        </w:tc>
        <w:tc>
          <w:tcPr>
            <w:tcW w:w="1561" w:type="dxa"/>
            <w:shd w:val="clear" w:color="auto" w:fill="B5C0D8"/>
          </w:tcPr>
          <w:p w14:paraId="732F7E9F" w14:textId="6FB53A3F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Izvršenje 2024.</w:t>
            </w:r>
          </w:p>
        </w:tc>
        <w:tc>
          <w:tcPr>
            <w:tcW w:w="1560" w:type="dxa"/>
            <w:shd w:val="clear" w:color="auto" w:fill="B5C0D8"/>
          </w:tcPr>
          <w:p w14:paraId="00199ACB" w14:textId="0AB5C22A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Rebalans 2025.</w:t>
            </w:r>
          </w:p>
        </w:tc>
        <w:tc>
          <w:tcPr>
            <w:tcW w:w="1560" w:type="dxa"/>
            <w:shd w:val="clear" w:color="auto" w:fill="B5C0D8"/>
          </w:tcPr>
          <w:p w14:paraId="71540920" w14:textId="17768FB5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Plan 2026.</w:t>
            </w:r>
          </w:p>
        </w:tc>
        <w:tc>
          <w:tcPr>
            <w:tcW w:w="1560" w:type="dxa"/>
            <w:shd w:val="clear" w:color="auto" w:fill="B5C0D8"/>
          </w:tcPr>
          <w:p w14:paraId="3FEF1759" w14:textId="08A4FECC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2027.</w:t>
            </w:r>
          </w:p>
        </w:tc>
        <w:tc>
          <w:tcPr>
            <w:tcW w:w="1560" w:type="dxa"/>
            <w:shd w:val="clear" w:color="auto" w:fill="B5C0D8"/>
          </w:tcPr>
          <w:p w14:paraId="525F8939" w14:textId="7FFA18DE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2028.</w:t>
            </w:r>
          </w:p>
        </w:tc>
        <w:tc>
          <w:tcPr>
            <w:tcW w:w="970" w:type="dxa"/>
            <w:shd w:val="clear" w:color="auto" w:fill="B5C0D8"/>
          </w:tcPr>
          <w:p w14:paraId="36202C05" w14:textId="6250F01C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Indeks 2026/2025</w:t>
            </w:r>
          </w:p>
        </w:tc>
      </w:tr>
      <w:tr w:rsidR="00C21F3C" w:rsidRPr="00A33403" w14:paraId="71D719B9" w14:textId="77777777" w:rsidTr="00C21F3C">
        <w:trPr>
          <w:jc w:val="center"/>
        </w:trPr>
        <w:tc>
          <w:tcPr>
            <w:tcW w:w="1435" w:type="dxa"/>
            <w:vAlign w:val="top"/>
          </w:tcPr>
          <w:p w14:paraId="06492E31" w14:textId="77777777" w:rsidR="00C21F3C" w:rsidRPr="001E175C" w:rsidRDefault="00C21F3C" w:rsidP="00C21F3C">
            <w:pPr>
              <w:pStyle w:val="CellColumn"/>
              <w:jc w:val="left"/>
              <w:rPr>
                <w:highlight w:val="yellow"/>
                <w:lang w:val="hr-HR"/>
              </w:rPr>
            </w:pPr>
            <w:r w:rsidRPr="001E175C">
              <w:rPr>
                <w:rFonts w:cs="Times New Roman"/>
                <w:lang w:val="hr-HR"/>
              </w:rPr>
              <w:t>A908001</w:t>
            </w:r>
          </w:p>
        </w:tc>
        <w:tc>
          <w:tcPr>
            <w:tcW w:w="1561" w:type="dxa"/>
            <w:vAlign w:val="top"/>
          </w:tcPr>
          <w:p w14:paraId="407DC207" w14:textId="599A62F7" w:rsidR="00C21F3C" w:rsidRPr="001E175C" w:rsidRDefault="001E175C" w:rsidP="00C21F3C">
            <w:pPr>
              <w:jc w:val="right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1.894.669,62</w:t>
            </w:r>
            <w:r w:rsidR="00C21F3C" w:rsidRPr="001E175C">
              <w:rPr>
                <w:lang w:val="hr-HR"/>
              </w:rPr>
              <w:t xml:space="preserve"> €</w:t>
            </w:r>
          </w:p>
        </w:tc>
        <w:tc>
          <w:tcPr>
            <w:tcW w:w="1560" w:type="dxa"/>
            <w:vAlign w:val="top"/>
          </w:tcPr>
          <w:p w14:paraId="3389512C" w14:textId="6B098730" w:rsidR="00C21F3C" w:rsidRPr="001E175C" w:rsidRDefault="001E175C" w:rsidP="00C21F3C">
            <w:pPr>
              <w:jc w:val="right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2.350.483,11</w:t>
            </w:r>
            <w:r w:rsidR="00C21F3C" w:rsidRPr="001E175C">
              <w:rPr>
                <w:lang w:val="hr-HR"/>
              </w:rPr>
              <w:t xml:space="preserve"> €</w:t>
            </w:r>
          </w:p>
        </w:tc>
        <w:tc>
          <w:tcPr>
            <w:tcW w:w="1560" w:type="dxa"/>
            <w:vAlign w:val="top"/>
          </w:tcPr>
          <w:p w14:paraId="35FBDB87" w14:textId="5728B65E" w:rsidR="00C21F3C" w:rsidRPr="001E175C" w:rsidRDefault="00C21F3C" w:rsidP="00C21F3C">
            <w:pPr>
              <w:jc w:val="right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2.</w:t>
            </w:r>
            <w:r w:rsidR="001E175C" w:rsidRPr="001E175C">
              <w:rPr>
                <w:lang w:val="hr-HR"/>
              </w:rPr>
              <w:t>516.700,00</w:t>
            </w:r>
            <w:r w:rsidRPr="001E175C">
              <w:rPr>
                <w:lang w:val="hr-HR"/>
              </w:rPr>
              <w:t xml:space="preserve"> €</w:t>
            </w:r>
          </w:p>
        </w:tc>
        <w:tc>
          <w:tcPr>
            <w:tcW w:w="1560" w:type="dxa"/>
            <w:vAlign w:val="top"/>
          </w:tcPr>
          <w:p w14:paraId="1A219C04" w14:textId="5B725C52" w:rsidR="00C21F3C" w:rsidRPr="001E175C" w:rsidRDefault="00C21F3C" w:rsidP="00C21F3C">
            <w:pPr>
              <w:jc w:val="right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2.</w:t>
            </w:r>
            <w:r w:rsidR="001E175C" w:rsidRPr="001E175C">
              <w:rPr>
                <w:lang w:val="hr-HR"/>
              </w:rPr>
              <w:t>492.950</w:t>
            </w:r>
            <w:r w:rsidR="004A6A98" w:rsidRPr="001E175C">
              <w:rPr>
                <w:lang w:val="hr-HR"/>
              </w:rPr>
              <w:t>,00</w:t>
            </w:r>
            <w:r w:rsidRPr="001E175C">
              <w:rPr>
                <w:lang w:val="hr-HR"/>
              </w:rPr>
              <w:t xml:space="preserve"> €</w:t>
            </w:r>
          </w:p>
        </w:tc>
        <w:tc>
          <w:tcPr>
            <w:tcW w:w="1560" w:type="dxa"/>
            <w:vAlign w:val="top"/>
          </w:tcPr>
          <w:p w14:paraId="166B145B" w14:textId="042FC716" w:rsidR="00C21F3C" w:rsidRPr="001E175C" w:rsidRDefault="00C21F3C" w:rsidP="00C21F3C">
            <w:pPr>
              <w:jc w:val="right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2</w:t>
            </w:r>
            <w:r w:rsidR="004A6A98" w:rsidRPr="001E175C">
              <w:rPr>
                <w:lang w:val="hr-HR"/>
              </w:rPr>
              <w:t>.</w:t>
            </w:r>
            <w:r w:rsidR="001E175C" w:rsidRPr="001E175C">
              <w:rPr>
                <w:lang w:val="hr-HR"/>
              </w:rPr>
              <w:t>551.200</w:t>
            </w:r>
            <w:r w:rsidR="004A6A98" w:rsidRPr="001E175C">
              <w:rPr>
                <w:lang w:val="hr-HR"/>
              </w:rPr>
              <w:t>,00</w:t>
            </w:r>
            <w:r w:rsidRPr="001E175C">
              <w:rPr>
                <w:lang w:val="hr-HR"/>
              </w:rPr>
              <w:t xml:space="preserve"> €</w:t>
            </w:r>
          </w:p>
        </w:tc>
        <w:tc>
          <w:tcPr>
            <w:tcW w:w="970" w:type="dxa"/>
            <w:vAlign w:val="top"/>
          </w:tcPr>
          <w:p w14:paraId="24F8A4CD" w14:textId="27836975" w:rsidR="00C21F3C" w:rsidRPr="001E175C" w:rsidRDefault="001E175C" w:rsidP="00C21F3C">
            <w:pPr>
              <w:jc w:val="center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107</w:t>
            </w:r>
          </w:p>
        </w:tc>
      </w:tr>
    </w:tbl>
    <w:p w14:paraId="6402B276" w14:textId="77777777" w:rsidR="00A26173" w:rsidRPr="00A33403" w:rsidRDefault="00A26173" w:rsidP="00A26173">
      <w:pPr>
        <w:jc w:val="left"/>
        <w:rPr>
          <w:color w:val="EE0000"/>
          <w:lang w:val="hr-HR"/>
        </w:rPr>
      </w:pPr>
    </w:p>
    <w:p w14:paraId="72AD7132" w14:textId="54E29A50" w:rsidR="0050521D" w:rsidRPr="001E175C" w:rsidRDefault="00A26173" w:rsidP="00A26173">
      <w:pPr>
        <w:rPr>
          <w:lang w:val="hr-HR"/>
        </w:rPr>
      </w:pPr>
      <w:r w:rsidRPr="001E175C">
        <w:rPr>
          <w:lang w:val="hr-HR"/>
        </w:rPr>
        <w:t xml:space="preserve">U okviru ove aktivnosti planiraju se sredstva za </w:t>
      </w:r>
      <w:r w:rsidR="008D3F5C" w:rsidRPr="001E175C">
        <w:rPr>
          <w:lang w:val="hr-HR"/>
        </w:rPr>
        <w:t>redovnu djelatnost Agencije</w:t>
      </w:r>
      <w:r w:rsidR="001E175C" w:rsidRPr="001E175C">
        <w:rPr>
          <w:lang w:val="hr-HR"/>
        </w:rPr>
        <w:t xml:space="preserve"> za 2026. godinu</w:t>
      </w:r>
      <w:r w:rsidR="008D3F5C" w:rsidRPr="001E175C">
        <w:rPr>
          <w:lang w:val="hr-HR"/>
        </w:rPr>
        <w:t>: rashodi</w:t>
      </w:r>
      <w:r w:rsidR="00A27454" w:rsidRPr="001E175C">
        <w:rPr>
          <w:lang w:val="hr-HR"/>
        </w:rPr>
        <w:t xml:space="preserve"> za zaposlene </w:t>
      </w:r>
      <w:r w:rsidRPr="001E175C">
        <w:rPr>
          <w:lang w:val="hr-HR"/>
        </w:rPr>
        <w:t xml:space="preserve">za </w:t>
      </w:r>
      <w:r w:rsidR="00CD614D" w:rsidRPr="001E175C">
        <w:rPr>
          <w:lang w:val="hr-HR"/>
        </w:rPr>
        <w:t>3</w:t>
      </w:r>
      <w:r w:rsidR="001E175C" w:rsidRPr="001E175C">
        <w:rPr>
          <w:lang w:val="hr-HR"/>
        </w:rPr>
        <w:t>3</w:t>
      </w:r>
      <w:r w:rsidRPr="001E175C">
        <w:rPr>
          <w:lang w:val="hr-HR"/>
        </w:rPr>
        <w:t xml:space="preserve"> zaposlenika </w:t>
      </w:r>
      <w:r w:rsidR="00D62702" w:rsidRPr="001E175C">
        <w:rPr>
          <w:lang w:val="hr-HR"/>
        </w:rPr>
        <w:t xml:space="preserve">u iznosu od  </w:t>
      </w:r>
      <w:r w:rsidR="001E175C" w:rsidRPr="001E175C">
        <w:rPr>
          <w:lang w:val="hr-HR"/>
        </w:rPr>
        <w:t>1.953.000</w:t>
      </w:r>
      <w:r w:rsidR="00C21F3C" w:rsidRPr="001E175C">
        <w:rPr>
          <w:lang w:val="hr-HR"/>
        </w:rPr>
        <w:t>,00</w:t>
      </w:r>
      <w:r w:rsidR="00E75744" w:rsidRPr="001E175C">
        <w:rPr>
          <w:lang w:val="hr-HR"/>
        </w:rPr>
        <w:t xml:space="preserve"> eura</w:t>
      </w:r>
      <w:r w:rsidR="00A27454" w:rsidRPr="001E175C">
        <w:rPr>
          <w:lang w:val="hr-HR"/>
        </w:rPr>
        <w:t xml:space="preserve">, </w:t>
      </w:r>
      <w:r w:rsidRPr="001E175C">
        <w:rPr>
          <w:lang w:val="hr-HR"/>
        </w:rPr>
        <w:t xml:space="preserve">materijalni  rashodi u iznosu od </w:t>
      </w:r>
      <w:r w:rsidR="001E175C" w:rsidRPr="001E175C">
        <w:rPr>
          <w:lang w:val="hr-HR"/>
        </w:rPr>
        <w:t>555.800</w:t>
      </w:r>
      <w:r w:rsidR="00C21F3C" w:rsidRPr="001E175C">
        <w:rPr>
          <w:lang w:val="hr-HR"/>
        </w:rPr>
        <w:t>,00</w:t>
      </w:r>
      <w:r w:rsidR="00E75744" w:rsidRPr="001E175C">
        <w:rPr>
          <w:lang w:val="hr-HR"/>
        </w:rPr>
        <w:t xml:space="preserve"> eura</w:t>
      </w:r>
      <w:r w:rsidR="00A27454" w:rsidRPr="001E175C">
        <w:rPr>
          <w:lang w:val="hr-HR"/>
        </w:rPr>
        <w:t xml:space="preserve">, </w:t>
      </w:r>
      <w:r w:rsidR="004266CD" w:rsidRPr="001E175C">
        <w:rPr>
          <w:lang w:val="hr-HR"/>
        </w:rPr>
        <w:t xml:space="preserve">financijski rashodi u iznosu od </w:t>
      </w:r>
      <w:r w:rsidR="00C21F3C" w:rsidRPr="001E175C">
        <w:rPr>
          <w:lang w:val="hr-HR"/>
        </w:rPr>
        <w:t>3.900,00</w:t>
      </w:r>
      <w:r w:rsidR="00E75744" w:rsidRPr="001E175C">
        <w:rPr>
          <w:lang w:val="hr-HR"/>
        </w:rPr>
        <w:t xml:space="preserve"> eura</w:t>
      </w:r>
      <w:r w:rsidR="004266CD" w:rsidRPr="001E175C">
        <w:rPr>
          <w:lang w:val="hr-HR"/>
        </w:rPr>
        <w:t xml:space="preserve">, naknade građanima i kućanstvima </w:t>
      </w:r>
      <w:r w:rsidR="00C21F3C" w:rsidRPr="001E175C">
        <w:rPr>
          <w:lang w:val="hr-HR"/>
        </w:rPr>
        <w:t>u novcu</w:t>
      </w:r>
      <w:r w:rsidR="004266CD" w:rsidRPr="001E175C">
        <w:rPr>
          <w:lang w:val="hr-HR"/>
        </w:rPr>
        <w:t xml:space="preserve"> u iznosu od </w:t>
      </w:r>
      <w:r w:rsidR="004F6AEB" w:rsidRPr="001E175C">
        <w:rPr>
          <w:lang w:val="hr-HR"/>
        </w:rPr>
        <w:t>4.000,00</w:t>
      </w:r>
      <w:r w:rsidR="00E75744" w:rsidRPr="001E175C">
        <w:rPr>
          <w:lang w:val="hr-HR"/>
        </w:rPr>
        <w:t xml:space="preserve"> eura</w:t>
      </w:r>
      <w:r w:rsidR="00C21F3C" w:rsidRPr="001E175C">
        <w:rPr>
          <w:lang w:val="hr-HR"/>
        </w:rPr>
        <w:t>.</w:t>
      </w:r>
      <w:r w:rsidR="004F6AEB" w:rsidRPr="001E175C">
        <w:rPr>
          <w:lang w:val="hr-HR"/>
        </w:rPr>
        <w:t xml:space="preserve"> </w:t>
      </w:r>
      <w:r w:rsidR="004266CD" w:rsidRPr="001E175C">
        <w:rPr>
          <w:lang w:val="hr-HR"/>
        </w:rPr>
        <w:t>Planirana sredstva za redovnu djelatnost Agencije za 202</w:t>
      </w:r>
      <w:r w:rsidR="001E175C" w:rsidRPr="001E175C">
        <w:rPr>
          <w:lang w:val="hr-HR"/>
        </w:rPr>
        <w:t>7</w:t>
      </w:r>
      <w:r w:rsidR="004266CD" w:rsidRPr="001E175C">
        <w:rPr>
          <w:lang w:val="hr-HR"/>
        </w:rPr>
        <w:t>. i 202</w:t>
      </w:r>
      <w:r w:rsidR="001E175C" w:rsidRPr="001E175C">
        <w:rPr>
          <w:lang w:val="hr-HR"/>
        </w:rPr>
        <w:t>8</w:t>
      </w:r>
      <w:r w:rsidR="004266CD" w:rsidRPr="001E175C">
        <w:rPr>
          <w:lang w:val="hr-HR"/>
        </w:rPr>
        <w:t>. godinu su približna planiranim iznosima za 202</w:t>
      </w:r>
      <w:r w:rsidR="001E175C" w:rsidRPr="001E175C">
        <w:rPr>
          <w:lang w:val="hr-HR"/>
        </w:rPr>
        <w:t>6</w:t>
      </w:r>
      <w:r w:rsidR="004266CD" w:rsidRPr="001E175C">
        <w:rPr>
          <w:lang w:val="hr-HR"/>
        </w:rPr>
        <w:t xml:space="preserve">. godinu. </w:t>
      </w:r>
      <w:r w:rsidRPr="001E175C">
        <w:rPr>
          <w:lang w:val="hr-HR"/>
        </w:rPr>
        <w:t>Sredstva se planiraju na izvoru 43.</w:t>
      </w:r>
    </w:p>
    <w:p w14:paraId="6AC39112" w14:textId="77777777" w:rsidR="0050521D" w:rsidRPr="001E175C" w:rsidRDefault="0050521D" w:rsidP="00A26173">
      <w:pPr>
        <w:rPr>
          <w:lang w:val="hr-HR"/>
        </w:rPr>
      </w:pPr>
    </w:p>
    <w:p w14:paraId="4F3098D7" w14:textId="2E4CA6AF" w:rsidR="00A26173" w:rsidRPr="001E175C" w:rsidRDefault="00A26173" w:rsidP="00A26173">
      <w:pPr>
        <w:pStyle w:val="Heading4"/>
        <w:rPr>
          <w:lang w:val="hr-HR"/>
        </w:rPr>
      </w:pPr>
      <w:r w:rsidRPr="001E175C">
        <w:rPr>
          <w:lang w:val="hr-HR"/>
        </w:rPr>
        <w:t>A908002 PROGRAMI AGENCIJE ZA ELEKTRONIČKE MEDIJE</w:t>
      </w:r>
      <w:r w:rsidR="00662818" w:rsidRPr="001E175C">
        <w:rPr>
          <w:lang w:val="hr-HR"/>
        </w:rPr>
        <w:t xml:space="preserve"> (IZ EVIDENCIJSKIH PRIHODA)</w:t>
      </w:r>
    </w:p>
    <w:p w14:paraId="2B1D52E4" w14:textId="77777777" w:rsidR="006E3975" w:rsidRPr="001E175C" w:rsidRDefault="006E3975" w:rsidP="006E3975">
      <w:pPr>
        <w:pStyle w:val="Heading8"/>
        <w:jc w:val="left"/>
        <w:rPr>
          <w:lang w:val="hr-HR"/>
        </w:rPr>
      </w:pPr>
      <w:r w:rsidRPr="001E175C">
        <w:rPr>
          <w:lang w:val="hr-HR"/>
        </w:rPr>
        <w:t>Zakonske i druge pravne osnove</w:t>
      </w:r>
    </w:p>
    <w:p w14:paraId="082A5ADA" w14:textId="3D520737" w:rsidR="00A26173" w:rsidRPr="001E175C" w:rsidRDefault="006E3975" w:rsidP="00A26173">
      <w:pPr>
        <w:rPr>
          <w:lang w:val="hr-HR"/>
        </w:rPr>
      </w:pPr>
      <w:r w:rsidRPr="001E175C">
        <w:rPr>
          <w:lang w:val="hr-HR"/>
        </w:rPr>
        <w:t>Zakon o elektroničkim medijima</w:t>
      </w:r>
      <w:r w:rsidR="00662818" w:rsidRPr="001E175C">
        <w:rPr>
          <w:lang w:val="hr-HR"/>
        </w:rPr>
        <w:t xml:space="preserve">, </w:t>
      </w:r>
      <w:r w:rsidRPr="001E175C">
        <w:rPr>
          <w:lang w:val="hr-HR"/>
        </w:rPr>
        <w:t>Zak</w:t>
      </w:r>
      <w:r w:rsidR="00662818" w:rsidRPr="001E175C">
        <w:rPr>
          <w:lang w:val="hr-HR"/>
        </w:rPr>
        <w:t xml:space="preserve">on o Hrvatskoj radioteleviziji, Zakon o medijima, Zakon o koncesijama, </w:t>
      </w:r>
      <w:r w:rsidRPr="001E175C">
        <w:rPr>
          <w:lang w:val="hr-HR"/>
        </w:rPr>
        <w:t xml:space="preserve">Zakon </w:t>
      </w:r>
      <w:r w:rsidR="00662818" w:rsidRPr="001E175C">
        <w:rPr>
          <w:lang w:val="hr-HR"/>
        </w:rPr>
        <w:t xml:space="preserve">o elektroničkim komunikacijama, Zakon o državnim potporama, </w:t>
      </w:r>
      <w:r w:rsidRPr="001E175C">
        <w:rPr>
          <w:lang w:val="hr-HR"/>
        </w:rPr>
        <w:t xml:space="preserve">Zakon </w:t>
      </w:r>
      <w:r w:rsidR="00662818" w:rsidRPr="001E175C">
        <w:rPr>
          <w:lang w:val="hr-HR"/>
        </w:rPr>
        <w:t xml:space="preserve">o audiovizualnim djelatnostima, </w:t>
      </w:r>
      <w:r w:rsidRPr="001E175C">
        <w:rPr>
          <w:lang w:val="hr-HR"/>
        </w:rPr>
        <w:t>Zakon o n</w:t>
      </w:r>
      <w:r w:rsidR="00662818" w:rsidRPr="001E175C">
        <w:rPr>
          <w:lang w:val="hr-HR"/>
        </w:rPr>
        <w:t xml:space="preserve">edopuštenom oglašavanju i drugi, </w:t>
      </w:r>
      <w:r w:rsidR="00A26173" w:rsidRPr="001E175C">
        <w:rPr>
          <w:lang w:val="hr-HR"/>
        </w:rPr>
        <w:t>Pravilnik o Fondu za poticanje pluralizma i raznovrsnosti elektroničkih medija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18"/>
        <w:gridCol w:w="1548"/>
        <w:gridCol w:w="1546"/>
        <w:gridCol w:w="1546"/>
        <w:gridCol w:w="1546"/>
        <w:gridCol w:w="1546"/>
        <w:gridCol w:w="1056"/>
      </w:tblGrid>
      <w:tr w:rsidR="00B34B21" w:rsidRPr="00A33403" w14:paraId="1533D298" w14:textId="77777777" w:rsidTr="00244DBE">
        <w:trPr>
          <w:jc w:val="center"/>
        </w:trPr>
        <w:tc>
          <w:tcPr>
            <w:tcW w:w="1435" w:type="dxa"/>
            <w:shd w:val="clear" w:color="auto" w:fill="B5C0D8"/>
          </w:tcPr>
          <w:p w14:paraId="5BEC0CB3" w14:textId="53A74B63" w:rsidR="00B34B21" w:rsidRPr="001E175C" w:rsidRDefault="00B34B21" w:rsidP="00B34B21">
            <w:pPr>
              <w:pStyle w:val="CellHeader"/>
              <w:jc w:val="center"/>
              <w:rPr>
                <w:lang w:val="hr-HR"/>
              </w:rPr>
            </w:pPr>
            <w:r w:rsidRPr="001E175C">
              <w:rPr>
                <w:rFonts w:cs="Times New Roman"/>
                <w:lang w:val="hr-HR"/>
              </w:rPr>
              <w:t>Naziv aktivnosti</w:t>
            </w:r>
          </w:p>
        </w:tc>
        <w:tc>
          <w:tcPr>
            <w:tcW w:w="1561" w:type="dxa"/>
            <w:shd w:val="clear" w:color="auto" w:fill="B5C0D8"/>
          </w:tcPr>
          <w:p w14:paraId="09B00F04" w14:textId="718522A6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Izvršenje 2024.</w:t>
            </w:r>
          </w:p>
        </w:tc>
        <w:tc>
          <w:tcPr>
            <w:tcW w:w="1560" w:type="dxa"/>
            <w:shd w:val="clear" w:color="auto" w:fill="B5C0D8"/>
          </w:tcPr>
          <w:p w14:paraId="423CB3B7" w14:textId="5E8B3894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Rebalans 2025.</w:t>
            </w:r>
          </w:p>
        </w:tc>
        <w:tc>
          <w:tcPr>
            <w:tcW w:w="1560" w:type="dxa"/>
            <w:shd w:val="clear" w:color="auto" w:fill="B5C0D8"/>
          </w:tcPr>
          <w:p w14:paraId="2DC75437" w14:textId="781551E1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Plan 2026.</w:t>
            </w:r>
          </w:p>
        </w:tc>
        <w:tc>
          <w:tcPr>
            <w:tcW w:w="1560" w:type="dxa"/>
            <w:shd w:val="clear" w:color="auto" w:fill="B5C0D8"/>
          </w:tcPr>
          <w:p w14:paraId="52F68890" w14:textId="5DD1AF66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2027.</w:t>
            </w:r>
          </w:p>
        </w:tc>
        <w:tc>
          <w:tcPr>
            <w:tcW w:w="1560" w:type="dxa"/>
            <w:shd w:val="clear" w:color="auto" w:fill="B5C0D8"/>
          </w:tcPr>
          <w:p w14:paraId="56E1DA32" w14:textId="2C3FED3C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2028.</w:t>
            </w:r>
          </w:p>
        </w:tc>
        <w:tc>
          <w:tcPr>
            <w:tcW w:w="970" w:type="dxa"/>
            <w:shd w:val="clear" w:color="auto" w:fill="B5C0D8"/>
          </w:tcPr>
          <w:p w14:paraId="317CA0DC" w14:textId="6E7F848E" w:rsidR="00B34B21" w:rsidRPr="00A33403" w:rsidRDefault="00B34B21" w:rsidP="00B34B21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Indeks 2026/2025</w:t>
            </w:r>
          </w:p>
        </w:tc>
      </w:tr>
      <w:tr w:rsidR="00244DBE" w:rsidRPr="00A33403" w14:paraId="7FB646CA" w14:textId="77777777" w:rsidTr="00244DBE">
        <w:trPr>
          <w:jc w:val="center"/>
        </w:trPr>
        <w:tc>
          <w:tcPr>
            <w:tcW w:w="1435" w:type="dxa"/>
            <w:vAlign w:val="top"/>
          </w:tcPr>
          <w:p w14:paraId="0022CD51" w14:textId="77777777" w:rsidR="00244DBE" w:rsidRPr="001E175C" w:rsidRDefault="00244DBE" w:rsidP="00244DBE">
            <w:pPr>
              <w:pStyle w:val="CellColumn"/>
              <w:jc w:val="left"/>
              <w:rPr>
                <w:lang w:val="hr-HR"/>
              </w:rPr>
            </w:pPr>
            <w:r w:rsidRPr="001E175C">
              <w:rPr>
                <w:rFonts w:cs="Times New Roman"/>
                <w:lang w:val="hr-HR"/>
              </w:rPr>
              <w:t>A908002</w:t>
            </w:r>
          </w:p>
        </w:tc>
        <w:tc>
          <w:tcPr>
            <w:tcW w:w="1561" w:type="dxa"/>
            <w:vAlign w:val="top"/>
          </w:tcPr>
          <w:p w14:paraId="522B4376" w14:textId="2F3D242A" w:rsidR="00244DBE" w:rsidRPr="001E175C" w:rsidRDefault="001E175C" w:rsidP="00244DBE">
            <w:pPr>
              <w:jc w:val="right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4.811.278,15</w:t>
            </w:r>
            <w:r w:rsidR="000D7318" w:rsidRPr="001E175C">
              <w:rPr>
                <w:lang w:val="hr-HR"/>
              </w:rPr>
              <w:t xml:space="preserve"> €</w:t>
            </w:r>
          </w:p>
        </w:tc>
        <w:tc>
          <w:tcPr>
            <w:tcW w:w="1560" w:type="dxa"/>
            <w:vAlign w:val="top"/>
          </w:tcPr>
          <w:p w14:paraId="60C7F80F" w14:textId="320A2286" w:rsidR="00244DBE" w:rsidRPr="001E175C" w:rsidRDefault="001E175C" w:rsidP="00244DBE">
            <w:pPr>
              <w:jc w:val="right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5.192.188,99</w:t>
            </w:r>
            <w:r w:rsidR="000D7318" w:rsidRPr="001E175C">
              <w:rPr>
                <w:lang w:val="hr-HR"/>
              </w:rPr>
              <w:t xml:space="preserve"> €</w:t>
            </w:r>
          </w:p>
        </w:tc>
        <w:tc>
          <w:tcPr>
            <w:tcW w:w="1560" w:type="dxa"/>
            <w:vAlign w:val="top"/>
          </w:tcPr>
          <w:p w14:paraId="728438C7" w14:textId="49058071" w:rsidR="00244DBE" w:rsidRPr="001E175C" w:rsidRDefault="001E175C" w:rsidP="00244DBE">
            <w:pPr>
              <w:jc w:val="right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5.178.533</w:t>
            </w:r>
            <w:r w:rsidR="000D7318" w:rsidRPr="001E175C">
              <w:rPr>
                <w:lang w:val="hr-HR"/>
              </w:rPr>
              <w:t>,00 €</w:t>
            </w:r>
          </w:p>
        </w:tc>
        <w:tc>
          <w:tcPr>
            <w:tcW w:w="1560" w:type="dxa"/>
            <w:vAlign w:val="top"/>
          </w:tcPr>
          <w:p w14:paraId="5583289F" w14:textId="4D893A67" w:rsidR="00244DBE" w:rsidRPr="001E175C" w:rsidRDefault="001E175C" w:rsidP="00244DBE">
            <w:pPr>
              <w:jc w:val="right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4.834.033</w:t>
            </w:r>
            <w:r w:rsidR="000D7318" w:rsidRPr="001E175C">
              <w:rPr>
                <w:lang w:val="hr-HR"/>
              </w:rPr>
              <w:t>,00 €</w:t>
            </w:r>
          </w:p>
        </w:tc>
        <w:tc>
          <w:tcPr>
            <w:tcW w:w="1560" w:type="dxa"/>
            <w:vAlign w:val="top"/>
          </w:tcPr>
          <w:p w14:paraId="23BA3F32" w14:textId="2655FC0E" w:rsidR="00244DBE" w:rsidRPr="001E175C" w:rsidRDefault="001E175C" w:rsidP="00244DBE">
            <w:pPr>
              <w:jc w:val="right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4.792.533</w:t>
            </w:r>
            <w:r w:rsidR="000D7318" w:rsidRPr="001E175C">
              <w:rPr>
                <w:lang w:val="hr-HR"/>
              </w:rPr>
              <w:t>,00 €</w:t>
            </w:r>
          </w:p>
        </w:tc>
        <w:tc>
          <w:tcPr>
            <w:tcW w:w="970" w:type="dxa"/>
            <w:vAlign w:val="top"/>
          </w:tcPr>
          <w:p w14:paraId="3B171610" w14:textId="71FD41BF" w:rsidR="00244DBE" w:rsidRPr="001E175C" w:rsidRDefault="001E175C" w:rsidP="000D7318">
            <w:pPr>
              <w:jc w:val="center"/>
              <w:rPr>
                <w:highlight w:val="yellow"/>
                <w:lang w:val="hr-HR"/>
              </w:rPr>
            </w:pPr>
            <w:r w:rsidRPr="001E175C">
              <w:rPr>
                <w:lang w:val="hr-HR"/>
              </w:rPr>
              <w:t>99</w:t>
            </w:r>
          </w:p>
        </w:tc>
      </w:tr>
    </w:tbl>
    <w:p w14:paraId="0EC6B191" w14:textId="77777777" w:rsidR="00A26173" w:rsidRPr="00A33403" w:rsidRDefault="00A26173" w:rsidP="00A26173">
      <w:pPr>
        <w:jc w:val="left"/>
        <w:rPr>
          <w:color w:val="EE0000"/>
          <w:lang w:val="hr-HR"/>
        </w:rPr>
      </w:pPr>
    </w:p>
    <w:p w14:paraId="2659F6E7" w14:textId="09CFFD32" w:rsidR="004F6AEB" w:rsidRPr="00A33403" w:rsidRDefault="004F6AEB" w:rsidP="00C15472">
      <w:pPr>
        <w:rPr>
          <w:color w:val="EE0000"/>
          <w:lang w:val="hr-HR"/>
        </w:rPr>
      </w:pPr>
      <w:r w:rsidRPr="001E175C">
        <w:rPr>
          <w:lang w:val="hr-HR"/>
        </w:rPr>
        <w:t xml:space="preserve">U okviru ove aktivnosti </w:t>
      </w:r>
      <w:r w:rsidR="00FB1832" w:rsidRPr="001E175C">
        <w:rPr>
          <w:lang w:val="hr-HR"/>
        </w:rPr>
        <w:t>za 202</w:t>
      </w:r>
      <w:r w:rsidR="001E175C" w:rsidRPr="001E175C">
        <w:rPr>
          <w:lang w:val="hr-HR"/>
        </w:rPr>
        <w:t>6</w:t>
      </w:r>
      <w:r w:rsidR="00FB1832" w:rsidRPr="001E175C">
        <w:rPr>
          <w:lang w:val="hr-HR"/>
        </w:rPr>
        <w:t xml:space="preserve">. godinu </w:t>
      </w:r>
      <w:r w:rsidRPr="001E175C">
        <w:rPr>
          <w:lang w:val="hr-HR"/>
        </w:rPr>
        <w:t>planiraju se sredstva za javne natječaje Fonda za poticanje pluralizma i raznovrsnosti elektroničkih medija</w:t>
      </w:r>
      <w:r w:rsidR="00FB1832" w:rsidRPr="001E175C">
        <w:rPr>
          <w:lang w:val="hr-HR"/>
        </w:rPr>
        <w:t xml:space="preserve"> u iznosu od </w:t>
      </w:r>
      <w:r w:rsidR="0034796F" w:rsidRPr="001E175C">
        <w:rPr>
          <w:szCs w:val="22"/>
        </w:rPr>
        <w:t>4.</w:t>
      </w:r>
      <w:r w:rsidR="006D4B46" w:rsidRPr="001E175C">
        <w:rPr>
          <w:szCs w:val="22"/>
        </w:rPr>
        <w:t>51</w:t>
      </w:r>
      <w:r w:rsidR="004F3AC4" w:rsidRPr="001E175C">
        <w:rPr>
          <w:szCs w:val="22"/>
        </w:rPr>
        <w:t>3</w:t>
      </w:r>
      <w:r w:rsidR="006D4B46" w:rsidRPr="001E175C">
        <w:rPr>
          <w:szCs w:val="22"/>
        </w:rPr>
        <w:t>.</w:t>
      </w:r>
      <w:r w:rsidR="004F3AC4" w:rsidRPr="001E175C">
        <w:rPr>
          <w:szCs w:val="22"/>
        </w:rPr>
        <w:t>100,00</w:t>
      </w:r>
      <w:r w:rsidR="0034796F" w:rsidRPr="001E175C">
        <w:rPr>
          <w:sz w:val="24"/>
          <w:szCs w:val="24"/>
        </w:rPr>
        <w:t xml:space="preserve"> </w:t>
      </w:r>
      <w:r w:rsidR="00FB1832" w:rsidRPr="001E175C">
        <w:rPr>
          <w:lang w:val="hr-HR"/>
        </w:rPr>
        <w:t xml:space="preserve">eura </w:t>
      </w:r>
      <w:r w:rsidRPr="001E175C">
        <w:rPr>
          <w:lang w:val="hr-HR"/>
        </w:rPr>
        <w:t xml:space="preserve">, </w:t>
      </w:r>
      <w:r w:rsidR="00E37CA5" w:rsidRPr="001E175C">
        <w:rPr>
          <w:lang w:val="hr-HR"/>
        </w:rPr>
        <w:t xml:space="preserve">tekuće donacije u novcu </w:t>
      </w:r>
      <w:r w:rsidR="00E37CA5" w:rsidRPr="001E175C">
        <w:rPr>
          <w:lang w:val="hr-HR"/>
        </w:rPr>
        <w:lastRenderedPageBreak/>
        <w:t xml:space="preserve">po javnom pozivu za medijsku pismenost u iznosu od </w:t>
      </w:r>
      <w:r w:rsidR="004F3AC4" w:rsidRPr="001E175C">
        <w:rPr>
          <w:lang w:val="hr-HR"/>
        </w:rPr>
        <w:t>54.000,00</w:t>
      </w:r>
      <w:r w:rsidR="00E37CA5" w:rsidRPr="001E175C">
        <w:rPr>
          <w:lang w:val="hr-HR"/>
        </w:rPr>
        <w:t xml:space="preserve"> eura, </w:t>
      </w:r>
      <w:r w:rsidR="00FB1832" w:rsidRPr="001E175C">
        <w:rPr>
          <w:lang w:val="hr-HR"/>
        </w:rPr>
        <w:t xml:space="preserve">materijalne rashode pod ostale usluge – AEM projekti u iznosu od </w:t>
      </w:r>
      <w:r w:rsidR="001E175C" w:rsidRPr="001E175C">
        <w:rPr>
          <w:lang w:val="hr-HR"/>
        </w:rPr>
        <w:t>367</w:t>
      </w:r>
      <w:r w:rsidR="00FB1832" w:rsidRPr="001E175C">
        <w:rPr>
          <w:lang w:val="hr-HR"/>
        </w:rPr>
        <w:t xml:space="preserve">.000,00 eura te rashode za nabavu nefinancijske imovine u iznosu od </w:t>
      </w:r>
      <w:r w:rsidR="001E175C" w:rsidRPr="001E175C">
        <w:rPr>
          <w:lang w:val="hr-HR"/>
        </w:rPr>
        <w:t>244.433</w:t>
      </w:r>
      <w:r w:rsidR="00FB1832" w:rsidRPr="001E175C">
        <w:rPr>
          <w:lang w:val="hr-HR"/>
        </w:rPr>
        <w:t xml:space="preserve"> eura.</w:t>
      </w:r>
    </w:p>
    <w:p w14:paraId="4C0F5D2E" w14:textId="486961F5" w:rsidR="00FB1832" w:rsidRPr="001E175C" w:rsidRDefault="00A26173" w:rsidP="00C15472">
      <w:pPr>
        <w:rPr>
          <w:szCs w:val="22"/>
          <w:lang w:val="hr-HR"/>
        </w:rPr>
      </w:pPr>
      <w:r w:rsidRPr="001E175C">
        <w:rPr>
          <w:lang w:val="hr-HR"/>
        </w:rPr>
        <w:t xml:space="preserve">Planirani iznos za Fond za poticanje pluralizma </w:t>
      </w:r>
      <w:r w:rsidR="004266CD" w:rsidRPr="001E175C">
        <w:rPr>
          <w:lang w:val="hr-HR"/>
        </w:rPr>
        <w:t xml:space="preserve">i raznovrsnosti elektroničkih medija </w:t>
      </w:r>
      <w:r w:rsidRPr="001E175C">
        <w:rPr>
          <w:lang w:val="hr-HR"/>
        </w:rPr>
        <w:t xml:space="preserve">definiran je </w:t>
      </w:r>
      <w:r w:rsidR="000B61DC" w:rsidRPr="001E175C">
        <w:rPr>
          <w:lang w:val="hr-HR"/>
        </w:rPr>
        <w:t xml:space="preserve">prema povijesnim podacima o uplatama HRT-a </w:t>
      </w:r>
      <w:r w:rsidRPr="001E175C">
        <w:rPr>
          <w:lang w:val="hr-HR"/>
        </w:rPr>
        <w:t>i  temeljem mišljenja Ministarstva financija</w:t>
      </w:r>
      <w:r w:rsidR="00DB1029" w:rsidRPr="001E175C">
        <w:rPr>
          <w:lang w:val="hr-HR"/>
        </w:rPr>
        <w:t>.</w:t>
      </w:r>
      <w:r w:rsidRPr="001E175C">
        <w:rPr>
          <w:lang w:val="hr-HR"/>
        </w:rPr>
        <w:t xml:space="preserve"> </w:t>
      </w:r>
      <w:r w:rsidR="00005BC9" w:rsidRPr="001E175C">
        <w:rPr>
          <w:lang w:val="hr-HR"/>
        </w:rPr>
        <w:t>Program dodjele sredstava Fonda za poticanje pluralizma i raznovrsnosti elektroničkih medija važ</w:t>
      </w:r>
      <w:r w:rsidR="00415BC5" w:rsidRPr="001E175C">
        <w:rPr>
          <w:lang w:val="hr-HR"/>
        </w:rPr>
        <w:t>i</w:t>
      </w:r>
      <w:r w:rsidR="00005BC9" w:rsidRPr="001E175C">
        <w:rPr>
          <w:lang w:val="hr-HR"/>
        </w:rPr>
        <w:t xml:space="preserve"> do 31. prosinca 202</w:t>
      </w:r>
      <w:r w:rsidR="00415BC5" w:rsidRPr="001E175C">
        <w:rPr>
          <w:lang w:val="hr-HR"/>
        </w:rPr>
        <w:t>6</w:t>
      </w:r>
      <w:r w:rsidR="00005BC9" w:rsidRPr="001E175C">
        <w:rPr>
          <w:lang w:val="hr-HR"/>
        </w:rPr>
        <w:t>. godine</w:t>
      </w:r>
      <w:r w:rsidR="00C15472" w:rsidRPr="001E175C">
        <w:rPr>
          <w:lang w:val="hr-HR"/>
        </w:rPr>
        <w:t>,</w:t>
      </w:r>
      <w:r w:rsidR="00377106" w:rsidRPr="001E175C">
        <w:rPr>
          <w:szCs w:val="22"/>
          <w:lang w:val="hr-HR"/>
        </w:rPr>
        <w:t>.</w:t>
      </w:r>
      <w:r w:rsidR="00FB1832" w:rsidRPr="001E175C">
        <w:rPr>
          <w:szCs w:val="22"/>
          <w:lang w:val="hr-HR"/>
        </w:rPr>
        <w:t xml:space="preserve"> </w:t>
      </w:r>
      <w:r w:rsidR="00415BC5" w:rsidRPr="001E175C">
        <w:rPr>
          <w:szCs w:val="22"/>
          <w:lang w:val="hr-HR"/>
        </w:rPr>
        <w:t xml:space="preserve"> </w:t>
      </w:r>
      <w:hyperlink r:id="rId5" w:history="1">
        <w:r w:rsidR="00415BC5" w:rsidRPr="001E175C">
          <w:rPr>
            <w:rStyle w:val="Hyperlink"/>
            <w:color w:val="auto"/>
            <w:szCs w:val="22"/>
            <w:lang w:val="hr-HR"/>
          </w:rPr>
          <w:t>https://www.aem.hr/wp-content/uploads/2023/10/Program-dodjele-sredstava-Fonda-za-poticanje-pluralizma-i-raznovrsnosti-elektronickih-medija-za-razdoblje-2024-2026.pdf</w:t>
        </w:r>
      </w:hyperlink>
      <w:r w:rsidR="00415BC5" w:rsidRPr="001E175C">
        <w:rPr>
          <w:szCs w:val="22"/>
          <w:lang w:val="hr-HR"/>
        </w:rPr>
        <w:t xml:space="preserve"> </w:t>
      </w:r>
    </w:p>
    <w:p w14:paraId="532D1084" w14:textId="2459DFDD" w:rsidR="00C15472" w:rsidRPr="001E175C" w:rsidRDefault="00C73578" w:rsidP="00C15472">
      <w:pPr>
        <w:rPr>
          <w:lang w:val="hr-HR"/>
        </w:rPr>
      </w:pPr>
      <w:r w:rsidRPr="001E175C">
        <w:rPr>
          <w:szCs w:val="22"/>
          <w:lang w:val="hr-HR"/>
        </w:rPr>
        <w:t>Sr</w:t>
      </w:r>
      <w:r w:rsidRPr="001E175C">
        <w:rPr>
          <w:lang w:val="hr-HR"/>
        </w:rPr>
        <w:t>edstva se planiraju na izvoru 43.</w:t>
      </w:r>
    </w:p>
    <w:p w14:paraId="5CDBB456" w14:textId="2301A78E" w:rsidR="00FB1832" w:rsidRPr="001E175C" w:rsidRDefault="00FB1832" w:rsidP="00C15472">
      <w:pPr>
        <w:rPr>
          <w:lang w:val="hr-HR"/>
        </w:rPr>
      </w:pPr>
      <w:r w:rsidRPr="001E175C">
        <w:rPr>
          <w:lang w:val="hr-HR"/>
        </w:rPr>
        <w:t>Za materijalne rashode pod ostale usluge – AEM projekti te rashode za nabavu nefinancijske imovine sredstva se planiraju na izvoru 43.</w:t>
      </w:r>
    </w:p>
    <w:p w14:paraId="78AF0CAF" w14:textId="77777777" w:rsidR="0058205D" w:rsidRPr="001E175C" w:rsidRDefault="0058205D" w:rsidP="0058205D">
      <w:pPr>
        <w:shd w:val="clear" w:color="auto" w:fill="FFFFFF"/>
        <w:spacing w:after="48"/>
        <w:rPr>
          <w:szCs w:val="22"/>
          <w:lang w:eastAsia="hr-HR"/>
        </w:rPr>
      </w:pPr>
      <w:r w:rsidRPr="001E175C">
        <w:rPr>
          <w:szCs w:val="22"/>
          <w:lang w:eastAsia="hr-HR"/>
        </w:rPr>
        <w:t>Sredstvima Fonda poticat će se proizvodnja i objavljivanje audiovizualnih i radijskih projekata, programa i sadržaja:</w:t>
      </w:r>
    </w:p>
    <w:p w14:paraId="6E868B10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nakladnika televizije i/ili radija na lokalnoj i regionalnoj razini</w:t>
      </w:r>
    </w:p>
    <w:p w14:paraId="3A91CE89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neprofitnih nakladnika televizije/ili radija</w:t>
      </w:r>
    </w:p>
    <w:p w14:paraId="06AD4300" w14:textId="4636FDFD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neprofitnih pružatelja medijskih usluga iz članaka 26. i 92. Zakona</w:t>
      </w:r>
    </w:p>
    <w:p w14:paraId="3FF019B0" w14:textId="725ED42B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pružatelja elektroničkih publikacija, osim elektroničke verzije novina i časopisa, elektroničkih publikacija nakladnika televizije i/ili radija te elektroničkih publikacija pružatelja medijskih usluga koji imaju dopuštenje za obavljanje djelatnosti iz članaka 26. i 92. Zakona</w:t>
      </w:r>
    </w:p>
    <w:p w14:paraId="791641BC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neprofitnih proizvođača audiovizualnog i/ili radijskog programa.</w:t>
      </w:r>
    </w:p>
    <w:p w14:paraId="63F5BD86" w14:textId="6F2B4C6C" w:rsidR="0058205D" w:rsidRPr="001E175C" w:rsidRDefault="0058205D" w:rsidP="0058205D">
      <w:pPr>
        <w:shd w:val="clear" w:color="auto" w:fill="FFFFFF"/>
        <w:spacing w:after="48"/>
        <w:rPr>
          <w:szCs w:val="22"/>
          <w:lang w:eastAsia="hr-HR"/>
        </w:rPr>
      </w:pPr>
      <w:r w:rsidRPr="001E175C">
        <w:rPr>
          <w:szCs w:val="22"/>
          <w:lang w:eastAsia="hr-HR"/>
        </w:rPr>
        <w:t>Sredstva Fonda dodjeljuju se projektima, programima i sadržajima koji su od javnog interesa i usmjereni na:</w:t>
      </w:r>
    </w:p>
    <w:p w14:paraId="6574AF92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ostvarivanje prava građana na javno informiranje</w:t>
      </w:r>
    </w:p>
    <w:p w14:paraId="48805179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poticanje kulturne raznolikosti i njegovanje baštine</w:t>
      </w:r>
    </w:p>
    <w:p w14:paraId="7DC27C33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razvoj odgoja i obrazovanja</w:t>
      </w:r>
    </w:p>
    <w:p w14:paraId="2923AA4A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razvoj znanosti</w:t>
      </w:r>
    </w:p>
    <w:p w14:paraId="584892CD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razvoj umjetnosti</w:t>
      </w:r>
    </w:p>
    <w:p w14:paraId="7334ABF8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poticanje stvaralaštva na narječjima hrvatskog jezika</w:t>
      </w:r>
    </w:p>
    <w:p w14:paraId="46B63FB5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poticanje posebnih kulturnih projekata i manifestacija</w:t>
      </w:r>
    </w:p>
    <w:p w14:paraId="58B6CAE9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nacionalne manjine u Republici Hrvatskoj</w:t>
      </w:r>
    </w:p>
    <w:p w14:paraId="77932369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poticanje razvoja svijesti o ravnopravnosti spolova i drugih najviših vrednota ustavnog poretka</w:t>
      </w:r>
    </w:p>
    <w:p w14:paraId="62C25A05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poticanje svijesti o ravnopravnosti rodnih identiteta i spolnoj orijentaciji</w:t>
      </w:r>
    </w:p>
    <w:p w14:paraId="55045ACA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poticanje kvalitetnih programa za djecu i mlade kojima je cilj promicanje njihove dobrobiti</w:t>
      </w:r>
    </w:p>
    <w:p w14:paraId="231BE395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podizanje svijesti javnosti o sposobnostima i doprinosu osoba s invaliditetom, kao i promicanje i poštovanje njihovih prava i dostojanstva, uključujući borbu protiv stereotipa, predrasuda i štetnih postupaka prema osobama s invaliditetom</w:t>
      </w:r>
    </w:p>
    <w:p w14:paraId="7FF689B1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povijesno vjerodostojno prikazivanje Domovinskog rata</w:t>
      </w:r>
    </w:p>
    <w:p w14:paraId="300D3ED7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razvoj i poticanje programa medijske pismenosti</w:t>
      </w:r>
    </w:p>
    <w:p w14:paraId="07309B8B" w14:textId="77777777" w:rsidR="0058205D" w:rsidRPr="001E175C" w:rsidRDefault="0058205D" w:rsidP="0058205D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zaštitu okoliša</w:t>
      </w:r>
    </w:p>
    <w:p w14:paraId="0246FEF1" w14:textId="3A13915F" w:rsidR="0058205D" w:rsidRPr="001E175C" w:rsidRDefault="0058205D" w:rsidP="006501D4">
      <w:pPr>
        <w:shd w:val="clear" w:color="auto" w:fill="FFFFFF"/>
        <w:spacing w:after="48"/>
        <w:ind w:firstLine="408"/>
        <w:rPr>
          <w:szCs w:val="22"/>
          <w:lang w:eastAsia="hr-HR"/>
        </w:rPr>
      </w:pPr>
      <w:r w:rsidRPr="001E175C">
        <w:rPr>
          <w:szCs w:val="22"/>
          <w:lang w:eastAsia="hr-HR"/>
        </w:rPr>
        <w:t>– promociju zdravlja i poticanje zdravstvene kulture.</w:t>
      </w:r>
    </w:p>
    <w:p w14:paraId="1BBCC141" w14:textId="77777777" w:rsidR="006501D4" w:rsidRPr="00693263" w:rsidRDefault="006501D4" w:rsidP="006501D4">
      <w:pPr>
        <w:shd w:val="clear" w:color="auto" w:fill="FFFFFF"/>
        <w:spacing w:after="48"/>
        <w:ind w:firstLine="408"/>
        <w:rPr>
          <w:szCs w:val="22"/>
          <w:lang w:eastAsia="hr-HR"/>
        </w:rPr>
      </w:pPr>
    </w:p>
    <w:p w14:paraId="281FAF4D" w14:textId="0317930D" w:rsidR="00DB44BE" w:rsidRPr="00693263" w:rsidRDefault="00DB44BE" w:rsidP="00DB44BE">
      <w:pPr>
        <w:rPr>
          <w:lang w:val="hr-HR"/>
        </w:rPr>
      </w:pPr>
      <w:bookmarkStart w:id="0" w:name="_Hlk50716200"/>
      <w:r w:rsidRPr="00693263">
        <w:rPr>
          <w:lang w:val="hr-HR"/>
        </w:rPr>
        <w:t>Za 202</w:t>
      </w:r>
      <w:r w:rsidR="00693263" w:rsidRPr="00693263">
        <w:rPr>
          <w:lang w:val="hr-HR"/>
        </w:rPr>
        <w:t>6</w:t>
      </w:r>
      <w:r w:rsidRPr="00693263">
        <w:rPr>
          <w:lang w:val="hr-HR"/>
        </w:rPr>
        <w:t xml:space="preserve">. godinu planirana su sredstva za financiranje okvirno </w:t>
      </w:r>
      <w:r w:rsidR="00AF57F5">
        <w:rPr>
          <w:lang w:val="hr-HR"/>
        </w:rPr>
        <w:t>770</w:t>
      </w:r>
      <w:r w:rsidRPr="00693263">
        <w:rPr>
          <w:lang w:val="hr-HR"/>
        </w:rPr>
        <w:t xml:space="preserve"> programa. </w:t>
      </w:r>
      <w:r w:rsidRPr="00693263">
        <w:rPr>
          <w:szCs w:val="22"/>
          <w:lang w:val="hr-HR"/>
        </w:rPr>
        <w:t>Za 202</w:t>
      </w:r>
      <w:r w:rsidR="00693263" w:rsidRPr="00693263">
        <w:rPr>
          <w:szCs w:val="22"/>
          <w:lang w:val="hr-HR"/>
        </w:rPr>
        <w:t>7</w:t>
      </w:r>
      <w:r w:rsidRPr="00693263">
        <w:rPr>
          <w:szCs w:val="22"/>
          <w:lang w:val="hr-HR"/>
        </w:rPr>
        <w:t>. i 202</w:t>
      </w:r>
      <w:r w:rsidR="00693263" w:rsidRPr="00693263">
        <w:rPr>
          <w:szCs w:val="22"/>
          <w:lang w:val="hr-HR"/>
        </w:rPr>
        <w:t>8</w:t>
      </w:r>
      <w:r w:rsidRPr="00693263">
        <w:rPr>
          <w:szCs w:val="22"/>
          <w:lang w:val="hr-HR"/>
        </w:rPr>
        <w:t xml:space="preserve">. godinu očekuje se financiranje okvirno približno jednakog broja programa. </w:t>
      </w:r>
    </w:p>
    <w:p w14:paraId="7BA427AB" w14:textId="6392D86F" w:rsidR="000B61DC" w:rsidRPr="00A33403" w:rsidRDefault="000B61DC" w:rsidP="00A26173">
      <w:pPr>
        <w:rPr>
          <w:color w:val="EE0000"/>
          <w:lang w:val="hr-HR"/>
        </w:rPr>
      </w:pPr>
    </w:p>
    <w:p w14:paraId="13860A58" w14:textId="18479AA7" w:rsidR="000B61DC" w:rsidRPr="00A33403" w:rsidRDefault="000B61DC" w:rsidP="00A26173">
      <w:pPr>
        <w:rPr>
          <w:color w:val="EE0000"/>
          <w:lang w:val="hr-HR"/>
        </w:rPr>
      </w:pPr>
    </w:p>
    <w:p w14:paraId="2400C80B" w14:textId="77777777" w:rsidR="00C15472" w:rsidRPr="00A33403" w:rsidRDefault="00C15472" w:rsidP="00A26173">
      <w:pPr>
        <w:rPr>
          <w:color w:val="EE0000"/>
          <w:lang w:val="hr-HR"/>
        </w:rPr>
      </w:pPr>
    </w:p>
    <w:bookmarkEnd w:id="0"/>
    <w:p w14:paraId="0FF17835" w14:textId="77777777" w:rsidR="00A26173" w:rsidRPr="00693263" w:rsidRDefault="00A26173" w:rsidP="00A26173">
      <w:pPr>
        <w:pStyle w:val="Heading8"/>
        <w:jc w:val="left"/>
        <w:rPr>
          <w:lang w:val="hr-HR"/>
        </w:rPr>
      </w:pPr>
      <w:r w:rsidRPr="00693263">
        <w:rPr>
          <w:lang w:val="hr-HR"/>
        </w:rPr>
        <w:lastRenderedPageBreak/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251"/>
        <w:gridCol w:w="2250"/>
        <w:gridCol w:w="920"/>
        <w:gridCol w:w="920"/>
        <w:gridCol w:w="1105"/>
        <w:gridCol w:w="920"/>
        <w:gridCol w:w="920"/>
        <w:gridCol w:w="920"/>
      </w:tblGrid>
      <w:tr w:rsidR="00693263" w:rsidRPr="00693263" w14:paraId="3046987C" w14:textId="77777777" w:rsidTr="00620A42">
        <w:trPr>
          <w:jc w:val="center"/>
        </w:trPr>
        <w:tc>
          <w:tcPr>
            <w:tcW w:w="2245" w:type="dxa"/>
            <w:shd w:val="clear" w:color="auto" w:fill="B5C0D8"/>
          </w:tcPr>
          <w:p w14:paraId="3D9D4F03" w14:textId="77777777" w:rsidR="00A26173" w:rsidRPr="00693263" w:rsidRDefault="00A26173" w:rsidP="00620A42">
            <w:pPr>
              <w:jc w:val="center"/>
              <w:rPr>
                <w:lang w:val="hr-HR"/>
              </w:rPr>
            </w:pPr>
            <w:r w:rsidRPr="00693263">
              <w:rPr>
                <w:lang w:val="hr-HR"/>
              </w:rPr>
              <w:t>Pokazatelj rezultata</w:t>
            </w:r>
          </w:p>
        </w:tc>
        <w:tc>
          <w:tcPr>
            <w:tcW w:w="2245" w:type="dxa"/>
            <w:shd w:val="clear" w:color="auto" w:fill="B5C0D8"/>
          </w:tcPr>
          <w:p w14:paraId="56ED040D" w14:textId="77777777" w:rsidR="00A26173" w:rsidRPr="00693263" w:rsidRDefault="00A26173" w:rsidP="00620A42">
            <w:pPr>
              <w:pStyle w:val="CellHeader"/>
              <w:jc w:val="center"/>
              <w:rPr>
                <w:lang w:val="hr-HR"/>
              </w:rPr>
            </w:pPr>
            <w:r w:rsidRPr="00693263">
              <w:rPr>
                <w:rFonts w:cs="Times New Roman"/>
                <w:lang w:val="hr-HR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14:paraId="5DC13805" w14:textId="77777777" w:rsidR="00A26173" w:rsidRPr="00693263" w:rsidRDefault="00A26173" w:rsidP="00620A42">
            <w:pPr>
              <w:pStyle w:val="CellHeader"/>
              <w:jc w:val="center"/>
              <w:rPr>
                <w:lang w:val="hr-HR"/>
              </w:rPr>
            </w:pPr>
            <w:r w:rsidRPr="00693263">
              <w:rPr>
                <w:rFonts w:cs="Times New Roman"/>
                <w:lang w:val="hr-HR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14:paraId="588EF4BA" w14:textId="77777777" w:rsidR="00A26173" w:rsidRPr="00693263" w:rsidRDefault="00A26173" w:rsidP="00620A42">
            <w:pPr>
              <w:pStyle w:val="CellHeader"/>
              <w:jc w:val="center"/>
              <w:rPr>
                <w:lang w:val="hr-HR"/>
              </w:rPr>
            </w:pPr>
            <w:r w:rsidRPr="00693263">
              <w:rPr>
                <w:rFonts w:cs="Times New Roman"/>
                <w:lang w:val="hr-HR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14:paraId="7F4F6666" w14:textId="77777777" w:rsidR="00A26173" w:rsidRPr="00693263" w:rsidRDefault="00A26173" w:rsidP="00620A42">
            <w:pPr>
              <w:pStyle w:val="CellHeader"/>
              <w:jc w:val="center"/>
              <w:rPr>
                <w:lang w:val="hr-HR"/>
              </w:rPr>
            </w:pPr>
            <w:r w:rsidRPr="00693263">
              <w:rPr>
                <w:rFonts w:cs="Times New Roman"/>
                <w:lang w:val="hr-HR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14:paraId="2418474D" w14:textId="1ECF3472" w:rsidR="00A26173" w:rsidRPr="00693263" w:rsidRDefault="00414882" w:rsidP="00620A42">
            <w:pPr>
              <w:pStyle w:val="CellHeader"/>
              <w:jc w:val="center"/>
              <w:rPr>
                <w:lang w:val="hr-HR"/>
              </w:rPr>
            </w:pPr>
            <w:r w:rsidRPr="00693263">
              <w:rPr>
                <w:rFonts w:cs="Times New Roman"/>
                <w:lang w:val="hr-HR"/>
              </w:rPr>
              <w:t>Ciljana vrijednost (202</w:t>
            </w:r>
            <w:r w:rsidR="00693263" w:rsidRPr="00693263">
              <w:rPr>
                <w:rFonts w:cs="Times New Roman"/>
                <w:lang w:val="hr-HR"/>
              </w:rPr>
              <w:t>6</w:t>
            </w:r>
            <w:r w:rsidR="00A26173" w:rsidRPr="00693263">
              <w:rPr>
                <w:rFonts w:cs="Times New Roman"/>
                <w:lang w:val="hr-HR"/>
              </w:rPr>
              <w:t>.)</w:t>
            </w:r>
          </w:p>
        </w:tc>
        <w:tc>
          <w:tcPr>
            <w:tcW w:w="918" w:type="dxa"/>
            <w:shd w:val="clear" w:color="auto" w:fill="B5C0D8"/>
          </w:tcPr>
          <w:p w14:paraId="52740C58" w14:textId="5AF78821" w:rsidR="00A26173" w:rsidRPr="00693263" w:rsidRDefault="00414882" w:rsidP="00620A42">
            <w:pPr>
              <w:pStyle w:val="CellHeader"/>
              <w:jc w:val="center"/>
              <w:rPr>
                <w:lang w:val="hr-HR"/>
              </w:rPr>
            </w:pPr>
            <w:r w:rsidRPr="00693263">
              <w:rPr>
                <w:rFonts w:cs="Times New Roman"/>
                <w:lang w:val="hr-HR"/>
              </w:rPr>
              <w:t>Ciljana vrijednost (202</w:t>
            </w:r>
            <w:r w:rsidR="00693263" w:rsidRPr="00693263">
              <w:rPr>
                <w:rFonts w:cs="Times New Roman"/>
                <w:lang w:val="hr-HR"/>
              </w:rPr>
              <w:t>7</w:t>
            </w:r>
            <w:r w:rsidR="00A26173" w:rsidRPr="00693263">
              <w:rPr>
                <w:rFonts w:cs="Times New Roman"/>
                <w:lang w:val="hr-HR"/>
              </w:rPr>
              <w:t>.)</w:t>
            </w:r>
          </w:p>
        </w:tc>
        <w:tc>
          <w:tcPr>
            <w:tcW w:w="918" w:type="dxa"/>
            <w:shd w:val="clear" w:color="auto" w:fill="B5C0D8"/>
          </w:tcPr>
          <w:p w14:paraId="490A6EB9" w14:textId="3D32E7E3" w:rsidR="00A26173" w:rsidRPr="00693263" w:rsidRDefault="00414882" w:rsidP="00620A42">
            <w:pPr>
              <w:pStyle w:val="CellHeader"/>
              <w:jc w:val="center"/>
              <w:rPr>
                <w:lang w:val="hr-HR"/>
              </w:rPr>
            </w:pPr>
            <w:r w:rsidRPr="00693263">
              <w:rPr>
                <w:rFonts w:cs="Times New Roman"/>
                <w:lang w:val="hr-HR"/>
              </w:rPr>
              <w:t>Ciljana vrijednost (202</w:t>
            </w:r>
            <w:r w:rsidR="00693263" w:rsidRPr="00693263">
              <w:rPr>
                <w:rFonts w:cs="Times New Roman"/>
                <w:lang w:val="hr-HR"/>
              </w:rPr>
              <w:t>8</w:t>
            </w:r>
            <w:r w:rsidR="00A26173" w:rsidRPr="00693263">
              <w:rPr>
                <w:rFonts w:cs="Times New Roman"/>
                <w:lang w:val="hr-HR"/>
              </w:rPr>
              <w:t>.)</w:t>
            </w:r>
          </w:p>
        </w:tc>
      </w:tr>
      <w:tr w:rsidR="00693263" w:rsidRPr="00693263" w14:paraId="5556A949" w14:textId="77777777" w:rsidTr="00620A42">
        <w:trPr>
          <w:jc w:val="center"/>
        </w:trPr>
        <w:tc>
          <w:tcPr>
            <w:tcW w:w="2245" w:type="dxa"/>
            <w:vAlign w:val="top"/>
          </w:tcPr>
          <w:p w14:paraId="1F548864" w14:textId="44DF1B3F" w:rsidR="00A26173" w:rsidRPr="00693263" w:rsidRDefault="006E3975" w:rsidP="00620A42">
            <w:pPr>
              <w:pStyle w:val="CellColumn"/>
              <w:jc w:val="left"/>
              <w:rPr>
                <w:highlight w:val="yellow"/>
                <w:lang w:val="hr-HR"/>
              </w:rPr>
            </w:pPr>
            <w:r w:rsidRPr="00693263">
              <w:rPr>
                <w:lang w:val="hr-HR"/>
              </w:rPr>
              <w:t>Stabilna potpora programima proizvođača audiovizualnih i/ili radijskih programa te elektroničkih publikacija</w:t>
            </w:r>
          </w:p>
        </w:tc>
        <w:tc>
          <w:tcPr>
            <w:tcW w:w="2245" w:type="dxa"/>
            <w:vAlign w:val="top"/>
          </w:tcPr>
          <w:p w14:paraId="59C3B3AC" w14:textId="13107854" w:rsidR="00336D9B" w:rsidRPr="00693263" w:rsidRDefault="006E3975" w:rsidP="00336D9B">
            <w:pPr>
              <w:shd w:val="clear" w:color="auto" w:fill="FFFFFF"/>
              <w:spacing w:after="48"/>
              <w:rPr>
                <w:lang w:eastAsia="hr-HR"/>
              </w:rPr>
            </w:pPr>
            <w:r w:rsidRPr="00693263">
              <w:rPr>
                <w:lang w:val="hr-HR"/>
              </w:rPr>
              <w:t xml:space="preserve">Fond za poticanje pluralizma i raznovrsnosti elektroničkih medija fond je Agencije za elektroničke medije za koji se financijska sredstva osiguravaju na temelju Zakona o Hrvatskoj radioteleviziji (3% prihoda od RTV pristojbe). </w:t>
            </w:r>
            <w:r w:rsidR="00336D9B" w:rsidRPr="00693263">
              <w:rPr>
                <w:lang w:eastAsia="hr-HR"/>
              </w:rPr>
              <w:t>Sredstvima Fonda poticat će se proizvodnja i objavljivanje audiovizualnih i radijskih projekata, programa i sadržaja: nakladnika televizije i/ili radija na lokalnoj i regionalnoj razini, neprofitnih nakladnika televizije/ili radija, neprofitnih pružatelja medijskih usluga iz članaka 26. i 92. ovoga Zakona, pružatelja elektroničkih publikacija,osim elektroničke verzije novina i časopisa, elektroničkih publikacija nakladnika televizije i/ili radija te elektroničkih publikacija pružatelja medijskih usluga koji imaju dopuštenje za obavljanje djelatnosti iz članaka 26. i 92. ovoga Zakona, neprofitnih proizvođača audiovizualnog i/ili radijskog programa.</w:t>
            </w:r>
          </w:p>
          <w:p w14:paraId="090138C7" w14:textId="43D0C166" w:rsidR="00A26173" w:rsidRPr="00693263" w:rsidRDefault="00A26173" w:rsidP="00620A42">
            <w:pPr>
              <w:pStyle w:val="CellColumn"/>
              <w:jc w:val="left"/>
              <w:rPr>
                <w:rFonts w:cs="Times New Roman"/>
                <w:szCs w:val="20"/>
                <w:lang w:val="hr-HR"/>
              </w:rPr>
            </w:pPr>
          </w:p>
        </w:tc>
        <w:tc>
          <w:tcPr>
            <w:tcW w:w="918" w:type="dxa"/>
          </w:tcPr>
          <w:p w14:paraId="0EEBD29C" w14:textId="77777777" w:rsidR="00A26173" w:rsidRPr="00693263" w:rsidRDefault="00A26173" w:rsidP="00620A42">
            <w:pPr>
              <w:jc w:val="center"/>
              <w:rPr>
                <w:lang w:val="hr-HR"/>
              </w:rPr>
            </w:pPr>
            <w:r w:rsidRPr="00693263">
              <w:rPr>
                <w:lang w:val="hr-HR"/>
              </w:rPr>
              <w:t>Broj programa</w:t>
            </w:r>
          </w:p>
        </w:tc>
        <w:tc>
          <w:tcPr>
            <w:tcW w:w="918" w:type="dxa"/>
          </w:tcPr>
          <w:p w14:paraId="07FB5383" w14:textId="6685BE41" w:rsidR="00A26173" w:rsidRPr="00693263" w:rsidRDefault="00AF57F5" w:rsidP="00620A4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770</w:t>
            </w:r>
          </w:p>
        </w:tc>
        <w:tc>
          <w:tcPr>
            <w:tcW w:w="918" w:type="dxa"/>
          </w:tcPr>
          <w:p w14:paraId="4FBF7BD7" w14:textId="77777777" w:rsidR="00A26173" w:rsidRPr="00693263" w:rsidRDefault="00A26173" w:rsidP="00620A42">
            <w:pPr>
              <w:pStyle w:val="CellColumn"/>
              <w:jc w:val="center"/>
              <w:rPr>
                <w:lang w:val="hr-HR"/>
              </w:rPr>
            </w:pPr>
            <w:r w:rsidRPr="00693263">
              <w:rPr>
                <w:rFonts w:cs="Times New Roman"/>
                <w:lang w:val="hr-HR"/>
              </w:rPr>
              <w:t>Agencija za elektroničke medije</w:t>
            </w:r>
          </w:p>
        </w:tc>
        <w:tc>
          <w:tcPr>
            <w:tcW w:w="918" w:type="dxa"/>
          </w:tcPr>
          <w:p w14:paraId="7FFECA3B" w14:textId="44557977" w:rsidR="00A26173" w:rsidRPr="00AF57F5" w:rsidRDefault="00AF57F5" w:rsidP="00620A42">
            <w:pPr>
              <w:jc w:val="center"/>
              <w:rPr>
                <w:lang w:val="hr-HR"/>
              </w:rPr>
            </w:pPr>
            <w:r w:rsidRPr="00AF57F5">
              <w:rPr>
                <w:lang w:val="hr-HR"/>
              </w:rPr>
              <w:t>770</w:t>
            </w:r>
          </w:p>
        </w:tc>
        <w:tc>
          <w:tcPr>
            <w:tcW w:w="918" w:type="dxa"/>
          </w:tcPr>
          <w:p w14:paraId="6CA1458C" w14:textId="76A61AB2" w:rsidR="00A26173" w:rsidRPr="00AF57F5" w:rsidRDefault="00AF57F5" w:rsidP="00620A42">
            <w:pPr>
              <w:jc w:val="center"/>
              <w:rPr>
                <w:lang w:val="hr-HR"/>
              </w:rPr>
            </w:pPr>
            <w:r w:rsidRPr="00AF57F5">
              <w:rPr>
                <w:lang w:val="hr-HR"/>
              </w:rPr>
              <w:t>770</w:t>
            </w:r>
          </w:p>
        </w:tc>
        <w:tc>
          <w:tcPr>
            <w:tcW w:w="918" w:type="dxa"/>
          </w:tcPr>
          <w:p w14:paraId="01F5FF7A" w14:textId="1B25B7E7" w:rsidR="00A26173" w:rsidRPr="00AF57F5" w:rsidRDefault="00AF57F5" w:rsidP="00620A42">
            <w:pPr>
              <w:jc w:val="center"/>
              <w:rPr>
                <w:lang w:val="hr-HR"/>
              </w:rPr>
            </w:pPr>
            <w:r w:rsidRPr="00AF57F5">
              <w:rPr>
                <w:lang w:val="hr-HR"/>
              </w:rPr>
              <w:t>770</w:t>
            </w:r>
          </w:p>
        </w:tc>
      </w:tr>
    </w:tbl>
    <w:p w14:paraId="78A937AD" w14:textId="319CB249" w:rsidR="00E563A8" w:rsidRPr="00A33403" w:rsidRDefault="00E563A8">
      <w:pPr>
        <w:rPr>
          <w:color w:val="EE0000"/>
        </w:rPr>
      </w:pPr>
    </w:p>
    <w:p w14:paraId="63707974" w14:textId="6CF0364C" w:rsidR="00A76F48" w:rsidRPr="00A33403" w:rsidRDefault="00A76F48">
      <w:pPr>
        <w:rPr>
          <w:color w:val="EE0000"/>
        </w:rPr>
      </w:pPr>
    </w:p>
    <w:p w14:paraId="44587FDB" w14:textId="77777777" w:rsidR="000308F0" w:rsidRPr="00A33403" w:rsidRDefault="000308F0">
      <w:pPr>
        <w:rPr>
          <w:color w:val="EE0000"/>
        </w:rPr>
      </w:pPr>
    </w:p>
    <w:p w14:paraId="00E6E128" w14:textId="77777777" w:rsidR="000308F0" w:rsidRPr="00A33403" w:rsidRDefault="000308F0">
      <w:pPr>
        <w:rPr>
          <w:color w:val="EE0000"/>
        </w:rPr>
      </w:pPr>
    </w:p>
    <w:p w14:paraId="3D8829D8" w14:textId="77777777" w:rsidR="000308F0" w:rsidRPr="00A33403" w:rsidRDefault="000308F0">
      <w:pPr>
        <w:rPr>
          <w:color w:val="EE0000"/>
        </w:rPr>
      </w:pPr>
    </w:p>
    <w:p w14:paraId="1BA8FC6E" w14:textId="77777777" w:rsidR="000308F0" w:rsidRPr="00A33403" w:rsidRDefault="000308F0">
      <w:pPr>
        <w:rPr>
          <w:color w:val="EE0000"/>
        </w:rPr>
      </w:pPr>
    </w:p>
    <w:p w14:paraId="3A60AF43" w14:textId="63053060" w:rsidR="00A76F48" w:rsidRPr="001E175C" w:rsidRDefault="00A76F48" w:rsidP="00A76F48">
      <w:pPr>
        <w:pStyle w:val="Heading4"/>
        <w:rPr>
          <w:lang w:val="hr-HR"/>
        </w:rPr>
      </w:pPr>
      <w:r w:rsidRPr="001E175C">
        <w:rPr>
          <w:lang w:val="hr-HR"/>
        </w:rPr>
        <w:lastRenderedPageBreak/>
        <w:t>A908003 PROGRAMI POTICANJA KVALITETNOG NOVINARSTVA</w:t>
      </w:r>
    </w:p>
    <w:p w14:paraId="2A3066C5" w14:textId="77777777" w:rsidR="00A76F48" w:rsidRPr="00AF57F5" w:rsidRDefault="00A76F48" w:rsidP="00A76F48">
      <w:pPr>
        <w:pStyle w:val="Heading8"/>
        <w:jc w:val="left"/>
        <w:rPr>
          <w:sz w:val="24"/>
          <w:szCs w:val="22"/>
          <w:lang w:val="hr-HR"/>
        </w:rPr>
      </w:pPr>
      <w:r w:rsidRPr="00AF57F5">
        <w:rPr>
          <w:sz w:val="24"/>
          <w:szCs w:val="22"/>
          <w:lang w:val="hr-HR"/>
        </w:rPr>
        <w:t>Zakonske i druge pravne osnove</w:t>
      </w:r>
    </w:p>
    <w:p w14:paraId="7110B30A" w14:textId="040675CF" w:rsidR="00A76F48" w:rsidRPr="00BE045B" w:rsidRDefault="00CA05DA" w:rsidP="00A76F48">
      <w:pPr>
        <w:rPr>
          <w:lang w:val="hr-HR"/>
        </w:rPr>
      </w:pPr>
      <w:r w:rsidRPr="00AF57F5">
        <w:rPr>
          <w:sz w:val="24"/>
          <w:szCs w:val="22"/>
          <w:lang w:val="hr-HR"/>
        </w:rPr>
        <w:t xml:space="preserve">Zakon o elektroničkim medijima, </w:t>
      </w:r>
      <w:r w:rsidR="00A76F48" w:rsidRPr="00AF57F5">
        <w:rPr>
          <w:sz w:val="24"/>
          <w:szCs w:val="22"/>
          <w:lang w:val="hr-HR"/>
        </w:rPr>
        <w:t>Uredba Vlade Republike Hrvatske o kriterijima za utvrđivanje korisnika i načinu raspodjele dijela prihoda od igara na sreću za 202</w:t>
      </w:r>
      <w:r w:rsidR="00BE045B" w:rsidRPr="00AF57F5">
        <w:rPr>
          <w:sz w:val="24"/>
          <w:szCs w:val="22"/>
          <w:lang w:val="hr-HR"/>
        </w:rPr>
        <w:t>5</w:t>
      </w:r>
      <w:r w:rsidR="00A76F48" w:rsidRPr="00AF57F5">
        <w:rPr>
          <w:sz w:val="24"/>
          <w:szCs w:val="22"/>
          <w:lang w:val="hr-HR"/>
        </w:rPr>
        <w:t xml:space="preserve">. godinu (NN </w:t>
      </w:r>
      <w:r w:rsidR="00BE045B" w:rsidRPr="00AF57F5">
        <w:rPr>
          <w:sz w:val="24"/>
          <w:szCs w:val="22"/>
          <w:lang w:val="hr-HR"/>
        </w:rPr>
        <w:t>70</w:t>
      </w:r>
      <w:r w:rsidR="00A76F48" w:rsidRPr="00AF57F5">
        <w:rPr>
          <w:sz w:val="24"/>
          <w:szCs w:val="22"/>
          <w:lang w:val="hr-HR"/>
        </w:rPr>
        <w:t>/20</w:t>
      </w:r>
      <w:r w:rsidR="00C15472" w:rsidRPr="00AF57F5">
        <w:rPr>
          <w:sz w:val="24"/>
          <w:szCs w:val="22"/>
          <w:lang w:val="hr-HR"/>
        </w:rPr>
        <w:t>2</w:t>
      </w:r>
      <w:r w:rsidR="00BE045B" w:rsidRPr="00AF57F5">
        <w:rPr>
          <w:sz w:val="24"/>
          <w:szCs w:val="22"/>
          <w:lang w:val="hr-HR"/>
        </w:rPr>
        <w:t>5</w:t>
      </w:r>
      <w:r w:rsidR="00A76F48" w:rsidRPr="00AF57F5">
        <w:rPr>
          <w:sz w:val="24"/>
          <w:szCs w:val="22"/>
          <w:lang w:val="hr-HR"/>
        </w:rPr>
        <w:t>)</w:t>
      </w:r>
      <w:r w:rsidRPr="00AF57F5">
        <w:rPr>
          <w:sz w:val="24"/>
          <w:szCs w:val="22"/>
          <w:lang w:val="hr-HR"/>
        </w:rPr>
        <w:t xml:space="preserve">, </w:t>
      </w:r>
      <w:r w:rsidR="00E265F2" w:rsidRPr="00AF57F5">
        <w:rPr>
          <w:sz w:val="24"/>
          <w:szCs w:val="24"/>
        </w:rPr>
        <w:t>Odluka o raspisivanju Javnog poziva za ugovaranje novinarskih radova u elektroničkim publikacijama Vijeća za elektroničke medije</w:t>
      </w:r>
      <w:r w:rsidR="00CE65C9" w:rsidRPr="00AF57F5">
        <w:rPr>
          <w:sz w:val="24"/>
          <w:szCs w:val="24"/>
        </w:rPr>
        <w:t xml:space="preserve"> </w:t>
      </w:r>
      <w:r w:rsidR="00525477" w:rsidRPr="00AF57F5">
        <w:rPr>
          <w:sz w:val="24"/>
          <w:szCs w:val="24"/>
        </w:rPr>
        <w:t xml:space="preserve">i Odluka o dodjeli novčanih sredstava </w:t>
      </w:r>
      <w:r w:rsidR="00CE65C9" w:rsidRPr="00AF57F5">
        <w:rPr>
          <w:sz w:val="24"/>
          <w:szCs w:val="24"/>
        </w:rPr>
        <w:t>Vijeća za elektroničke medije</w:t>
      </w:r>
      <w:r w:rsidR="00CE65C9" w:rsidRPr="00BE045B">
        <w:rPr>
          <w:szCs w:val="22"/>
        </w:rPr>
        <w:t>.</w:t>
      </w:r>
    </w:p>
    <w:tbl>
      <w:tblPr>
        <w:tblStyle w:val="StilTablice"/>
        <w:tblW w:w="9062" w:type="dxa"/>
        <w:jc w:val="center"/>
        <w:tblLook w:val="04A0" w:firstRow="1" w:lastRow="0" w:firstColumn="1" w:lastColumn="0" w:noHBand="0" w:noVBand="1"/>
      </w:tblPr>
      <w:tblGrid>
        <w:gridCol w:w="1308"/>
        <w:gridCol w:w="1350"/>
        <w:gridCol w:w="1233"/>
        <w:gridCol w:w="1349"/>
        <w:gridCol w:w="1383"/>
        <w:gridCol w:w="1383"/>
        <w:gridCol w:w="1056"/>
      </w:tblGrid>
      <w:tr w:rsidR="00BE045B" w:rsidRPr="00A33403" w14:paraId="4A24788C" w14:textId="77777777" w:rsidTr="00CA05DA">
        <w:trPr>
          <w:jc w:val="center"/>
        </w:trPr>
        <w:tc>
          <w:tcPr>
            <w:tcW w:w="1325" w:type="dxa"/>
            <w:shd w:val="clear" w:color="auto" w:fill="B5C0D8"/>
          </w:tcPr>
          <w:p w14:paraId="54750C83" w14:textId="51053268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F57F5">
              <w:rPr>
                <w:rFonts w:cs="Times New Roman"/>
                <w:lang w:val="hr-HR"/>
              </w:rPr>
              <w:t>Naziv aktivnosti</w:t>
            </w:r>
          </w:p>
        </w:tc>
        <w:tc>
          <w:tcPr>
            <w:tcW w:w="1364" w:type="dxa"/>
            <w:shd w:val="clear" w:color="auto" w:fill="B5C0D8"/>
          </w:tcPr>
          <w:p w14:paraId="430C8EEC" w14:textId="529C5529" w:rsidR="00BE045B" w:rsidRPr="00A33403" w:rsidRDefault="00BE045B" w:rsidP="00BE045B">
            <w:pPr>
              <w:pStyle w:val="CellHeader"/>
              <w:jc w:val="center"/>
              <w:rPr>
                <w:rFonts w:cs="Times New Roman"/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Izvršenje 2024.</w:t>
            </w:r>
          </w:p>
        </w:tc>
        <w:tc>
          <w:tcPr>
            <w:tcW w:w="1242" w:type="dxa"/>
            <w:shd w:val="clear" w:color="auto" w:fill="B5C0D8"/>
          </w:tcPr>
          <w:p w14:paraId="793010FD" w14:textId="78763C1C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Rebalans 2025.</w:t>
            </w:r>
          </w:p>
        </w:tc>
        <w:tc>
          <w:tcPr>
            <w:tcW w:w="1363" w:type="dxa"/>
            <w:shd w:val="clear" w:color="auto" w:fill="B5C0D8"/>
          </w:tcPr>
          <w:p w14:paraId="4408A49C" w14:textId="1D4CC436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Plan 2026.</w:t>
            </w:r>
          </w:p>
        </w:tc>
        <w:tc>
          <w:tcPr>
            <w:tcW w:w="1399" w:type="dxa"/>
            <w:shd w:val="clear" w:color="auto" w:fill="B5C0D8"/>
          </w:tcPr>
          <w:p w14:paraId="1A9FC153" w14:textId="76885609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2027.</w:t>
            </w:r>
          </w:p>
        </w:tc>
        <w:tc>
          <w:tcPr>
            <w:tcW w:w="1399" w:type="dxa"/>
            <w:shd w:val="clear" w:color="auto" w:fill="B5C0D8"/>
          </w:tcPr>
          <w:p w14:paraId="7DC86005" w14:textId="73260DED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2028.</w:t>
            </w:r>
          </w:p>
        </w:tc>
        <w:tc>
          <w:tcPr>
            <w:tcW w:w="970" w:type="dxa"/>
            <w:shd w:val="clear" w:color="auto" w:fill="B5C0D8"/>
          </w:tcPr>
          <w:p w14:paraId="0B189BFA" w14:textId="600F0412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Indeks 2026/2025</w:t>
            </w:r>
          </w:p>
        </w:tc>
      </w:tr>
      <w:tr w:rsidR="00244DBE" w:rsidRPr="00A33403" w14:paraId="0CF6EE73" w14:textId="77777777" w:rsidTr="00CA05DA">
        <w:trPr>
          <w:jc w:val="center"/>
        </w:trPr>
        <w:tc>
          <w:tcPr>
            <w:tcW w:w="1325" w:type="dxa"/>
            <w:vAlign w:val="top"/>
          </w:tcPr>
          <w:p w14:paraId="74316B92" w14:textId="33CDBD4B" w:rsidR="00244DBE" w:rsidRPr="00AF57F5" w:rsidRDefault="00244DBE" w:rsidP="00244DBE">
            <w:pPr>
              <w:pStyle w:val="CellColumn"/>
              <w:jc w:val="left"/>
              <w:rPr>
                <w:lang w:val="hr-HR"/>
              </w:rPr>
            </w:pPr>
            <w:r w:rsidRPr="00AF57F5">
              <w:rPr>
                <w:rFonts w:cs="Times New Roman"/>
                <w:lang w:val="hr-HR"/>
              </w:rPr>
              <w:t>A908003</w:t>
            </w:r>
          </w:p>
        </w:tc>
        <w:tc>
          <w:tcPr>
            <w:tcW w:w="1364" w:type="dxa"/>
          </w:tcPr>
          <w:p w14:paraId="00FDC102" w14:textId="12B56094" w:rsidR="00244DBE" w:rsidRPr="00AF57F5" w:rsidRDefault="00AF57F5" w:rsidP="00244DBE">
            <w:pPr>
              <w:jc w:val="right"/>
              <w:rPr>
                <w:lang w:val="hr-HR"/>
              </w:rPr>
            </w:pPr>
            <w:r w:rsidRPr="00AF57F5">
              <w:rPr>
                <w:lang w:val="hr-HR"/>
              </w:rPr>
              <w:t>299.109,99</w:t>
            </w:r>
            <w:r w:rsidR="00EF2B23" w:rsidRPr="00AF57F5">
              <w:rPr>
                <w:lang w:val="hr-HR"/>
              </w:rPr>
              <w:t xml:space="preserve"> €</w:t>
            </w:r>
          </w:p>
        </w:tc>
        <w:tc>
          <w:tcPr>
            <w:tcW w:w="1242" w:type="dxa"/>
            <w:vAlign w:val="top"/>
          </w:tcPr>
          <w:p w14:paraId="304FD822" w14:textId="563C06A9" w:rsidR="00244DBE" w:rsidRPr="00AF57F5" w:rsidRDefault="00AF57F5" w:rsidP="00244DBE">
            <w:pPr>
              <w:jc w:val="right"/>
              <w:rPr>
                <w:highlight w:val="yellow"/>
                <w:lang w:val="hr-HR"/>
              </w:rPr>
            </w:pPr>
            <w:r w:rsidRPr="00AF57F5">
              <w:rPr>
                <w:lang w:val="hr-HR"/>
              </w:rPr>
              <w:t>401.700,00</w:t>
            </w:r>
            <w:r w:rsidR="00EF2B23" w:rsidRPr="00AF57F5">
              <w:rPr>
                <w:lang w:val="hr-HR"/>
              </w:rPr>
              <w:t xml:space="preserve"> €</w:t>
            </w:r>
          </w:p>
        </w:tc>
        <w:tc>
          <w:tcPr>
            <w:tcW w:w="1363" w:type="dxa"/>
            <w:vAlign w:val="top"/>
          </w:tcPr>
          <w:p w14:paraId="02235FEE" w14:textId="42A6D01E" w:rsidR="00244DBE" w:rsidRPr="00AF57F5" w:rsidRDefault="00244DBE" w:rsidP="00244DBE">
            <w:pPr>
              <w:jc w:val="right"/>
              <w:rPr>
                <w:highlight w:val="yellow"/>
                <w:lang w:val="hr-HR"/>
              </w:rPr>
            </w:pPr>
            <w:r w:rsidRPr="00AF57F5">
              <w:rPr>
                <w:lang w:val="hr-HR"/>
              </w:rPr>
              <w:t>200.000,00</w:t>
            </w:r>
            <w:r w:rsidR="00EF2B23" w:rsidRPr="00AF57F5">
              <w:rPr>
                <w:lang w:val="hr-HR"/>
              </w:rPr>
              <w:t xml:space="preserve"> €</w:t>
            </w:r>
          </w:p>
        </w:tc>
        <w:tc>
          <w:tcPr>
            <w:tcW w:w="1399" w:type="dxa"/>
            <w:vAlign w:val="top"/>
          </w:tcPr>
          <w:p w14:paraId="2223DD31" w14:textId="2E9F7CE3" w:rsidR="00244DBE" w:rsidRPr="00AF57F5" w:rsidRDefault="00244DBE" w:rsidP="00244DBE">
            <w:pPr>
              <w:jc w:val="right"/>
              <w:rPr>
                <w:highlight w:val="yellow"/>
                <w:lang w:val="hr-HR"/>
              </w:rPr>
            </w:pPr>
            <w:r w:rsidRPr="00AF57F5">
              <w:rPr>
                <w:lang w:val="hr-HR"/>
              </w:rPr>
              <w:t>200.000,00</w:t>
            </w:r>
            <w:r w:rsidR="00EF2B23" w:rsidRPr="00AF57F5">
              <w:rPr>
                <w:lang w:val="hr-HR"/>
              </w:rPr>
              <w:t xml:space="preserve"> €</w:t>
            </w:r>
          </w:p>
        </w:tc>
        <w:tc>
          <w:tcPr>
            <w:tcW w:w="1399" w:type="dxa"/>
            <w:vAlign w:val="top"/>
          </w:tcPr>
          <w:p w14:paraId="54E96F54" w14:textId="4C565556" w:rsidR="00244DBE" w:rsidRPr="00AF57F5" w:rsidRDefault="00244DBE" w:rsidP="00244DBE">
            <w:pPr>
              <w:jc w:val="right"/>
              <w:rPr>
                <w:highlight w:val="yellow"/>
                <w:lang w:val="hr-HR"/>
              </w:rPr>
            </w:pPr>
            <w:r w:rsidRPr="00AF57F5">
              <w:rPr>
                <w:lang w:val="hr-HR"/>
              </w:rPr>
              <w:t>200.000,00</w:t>
            </w:r>
            <w:r w:rsidR="00EF2B23" w:rsidRPr="00AF57F5">
              <w:rPr>
                <w:lang w:val="hr-HR"/>
              </w:rPr>
              <w:t xml:space="preserve"> €</w:t>
            </w:r>
          </w:p>
        </w:tc>
        <w:tc>
          <w:tcPr>
            <w:tcW w:w="970" w:type="dxa"/>
            <w:vAlign w:val="top"/>
          </w:tcPr>
          <w:p w14:paraId="1A60C1C9" w14:textId="735EABE2" w:rsidR="00244DBE" w:rsidRPr="00AF57F5" w:rsidRDefault="00AF57F5" w:rsidP="00EF2B23">
            <w:pPr>
              <w:jc w:val="center"/>
              <w:rPr>
                <w:lang w:val="hr-HR"/>
              </w:rPr>
            </w:pPr>
            <w:r w:rsidRPr="00AF57F5">
              <w:rPr>
                <w:lang w:val="hr-HR"/>
              </w:rPr>
              <w:t>49</w:t>
            </w:r>
          </w:p>
        </w:tc>
      </w:tr>
    </w:tbl>
    <w:p w14:paraId="565FF5AC" w14:textId="7DFD5092" w:rsidR="00A76F48" w:rsidRPr="00AF57F5" w:rsidRDefault="00A76F48">
      <w:pPr>
        <w:rPr>
          <w:color w:val="EE0000"/>
          <w:sz w:val="24"/>
          <w:szCs w:val="22"/>
        </w:rPr>
      </w:pPr>
    </w:p>
    <w:p w14:paraId="60E2F354" w14:textId="651AF41C" w:rsidR="00C16ED0" w:rsidRPr="00AF57F5" w:rsidRDefault="00C16ED0" w:rsidP="00C16ED0">
      <w:pPr>
        <w:pStyle w:val="NormalWeb"/>
        <w:spacing w:before="0" w:beforeAutospacing="0" w:after="0" w:afterAutospacing="0"/>
        <w:jc w:val="both"/>
      </w:pPr>
      <w:r w:rsidRPr="00AF57F5">
        <w:t xml:space="preserve">Agencija za elektroničke medije pokrenula je </w:t>
      </w:r>
      <w:r w:rsidR="00E265F2" w:rsidRPr="00AF57F5">
        <w:t xml:space="preserve">po prvi put u 2020. godini </w:t>
      </w:r>
      <w:r w:rsidRPr="00AF57F5">
        <w:t xml:space="preserve">projekt poticanja novinarske </w:t>
      </w:r>
      <w:r w:rsidR="00EF2B23" w:rsidRPr="00AF57F5">
        <w:t>izvrsnosti</w:t>
      </w:r>
      <w:r w:rsidRPr="00AF57F5">
        <w:t xml:space="preserve"> dodjelom bespovratnih sredstava u visini od ukupno milijun kuna novinarima/novinarkama za novinarske radove i istraživanja na teme koje su od javnog interesa iz područja kulture, zdravstva, lokalnih tema, ekumenizma i religije, ljudskih prava, položaja žena u društvu, tema od interesa za manjine u društvu, djece i mladih, obrazovanja, sporta, gospodarstva, međunarodnih odnosa i Europske unije. </w:t>
      </w:r>
    </w:p>
    <w:p w14:paraId="7D53E6D6" w14:textId="77777777" w:rsidR="00C16ED0" w:rsidRPr="00AF57F5" w:rsidRDefault="00C16ED0" w:rsidP="00C16ED0">
      <w:pPr>
        <w:pStyle w:val="NormalWeb"/>
        <w:spacing w:before="0" w:beforeAutospacing="0" w:after="0" w:afterAutospacing="0"/>
        <w:jc w:val="both"/>
      </w:pPr>
    </w:p>
    <w:p w14:paraId="7D9DBB3F" w14:textId="55C7CD10" w:rsidR="00C16ED0" w:rsidRPr="00AF57F5" w:rsidRDefault="00C16ED0" w:rsidP="00C16ED0">
      <w:pPr>
        <w:pStyle w:val="NormalWeb"/>
        <w:spacing w:before="0" w:beforeAutospacing="0" w:after="0" w:afterAutospacing="0"/>
        <w:jc w:val="both"/>
      </w:pPr>
      <w:r w:rsidRPr="00AF57F5">
        <w:t xml:space="preserve">Posebni ciljevi koji se žele ostvariti ovim projektom odnose se na dodatni angažman novinarki i novinara i dubinsko istraživanje tema od javnog interesa, jačanje kritičkog kapaciteta i društvenog utjecaja elektroničkih publikacija, širenje broja tema i relevantnosti sadržaja elektroničkih publikacija, istinito i razborito izvještavanje u doba pandemije </w:t>
      </w:r>
      <w:proofErr w:type="spellStart"/>
      <w:r w:rsidRPr="00AF57F5">
        <w:t>koronavirusa</w:t>
      </w:r>
      <w:proofErr w:type="spellEnd"/>
      <w:r w:rsidRPr="00AF57F5">
        <w:t xml:space="preserve"> i potresa u Zagrebu 2020., profesionalizacija novinarskog i autorskog rada u elektroničkim publikacijama, nagrađivanje i motiviranje novinara/novinarki za vrhunski autorski rad te jačanje autonomije novinara. </w:t>
      </w:r>
    </w:p>
    <w:p w14:paraId="6D12BA99" w14:textId="77777777" w:rsidR="00CA4537" w:rsidRPr="00AF57F5" w:rsidRDefault="00CA4537" w:rsidP="00C16ED0">
      <w:pPr>
        <w:pStyle w:val="NormalWeb"/>
        <w:spacing w:before="0" w:beforeAutospacing="0" w:after="0" w:afterAutospacing="0"/>
        <w:jc w:val="both"/>
        <w:rPr>
          <w:highlight w:val="yellow"/>
        </w:rPr>
      </w:pPr>
    </w:p>
    <w:p w14:paraId="0A98F32D" w14:textId="0B264200" w:rsidR="00C16ED0" w:rsidRPr="00F01818" w:rsidRDefault="00577C94" w:rsidP="00577C94">
      <w:pPr>
        <w:spacing w:after="0"/>
        <w:rPr>
          <w:sz w:val="24"/>
          <w:szCs w:val="24"/>
          <w:lang w:val="hr-HR"/>
        </w:rPr>
      </w:pPr>
      <w:r w:rsidRPr="00F01818">
        <w:rPr>
          <w:sz w:val="24"/>
          <w:szCs w:val="24"/>
          <w:lang w:val="hr-HR"/>
        </w:rPr>
        <w:t xml:space="preserve">Sredstva se planiraju na izvoru 41. </w:t>
      </w:r>
    </w:p>
    <w:p w14:paraId="1A33505D" w14:textId="77777777" w:rsidR="00577C94" w:rsidRPr="00F01818" w:rsidRDefault="00577C94" w:rsidP="00577C94">
      <w:pPr>
        <w:spacing w:after="0"/>
        <w:rPr>
          <w:sz w:val="24"/>
          <w:szCs w:val="24"/>
          <w:highlight w:val="yellow"/>
          <w:lang w:val="hr-HR"/>
        </w:rPr>
      </w:pPr>
    </w:p>
    <w:p w14:paraId="68A88085" w14:textId="18E5B164" w:rsidR="005C4C46" w:rsidRPr="00F01818" w:rsidRDefault="00C16ED0" w:rsidP="00577C94">
      <w:pPr>
        <w:spacing w:after="0"/>
        <w:rPr>
          <w:sz w:val="24"/>
          <w:szCs w:val="24"/>
          <w:lang w:val="hr-HR"/>
        </w:rPr>
      </w:pPr>
      <w:r w:rsidRPr="00F01818">
        <w:rPr>
          <w:sz w:val="24"/>
          <w:szCs w:val="24"/>
          <w:lang w:val="hr-HR"/>
        </w:rPr>
        <w:t>Za 202</w:t>
      </w:r>
      <w:r w:rsidR="00AF57F5" w:rsidRPr="00F01818">
        <w:rPr>
          <w:sz w:val="24"/>
          <w:szCs w:val="24"/>
          <w:lang w:val="hr-HR"/>
        </w:rPr>
        <w:t>6</w:t>
      </w:r>
      <w:r w:rsidRPr="00F01818">
        <w:rPr>
          <w:sz w:val="24"/>
          <w:szCs w:val="24"/>
          <w:lang w:val="hr-HR"/>
        </w:rPr>
        <w:t xml:space="preserve">. godinu planirana su sredstva za financiranje </w:t>
      </w:r>
      <w:r w:rsidR="00314CF2" w:rsidRPr="00F01818">
        <w:rPr>
          <w:sz w:val="24"/>
          <w:szCs w:val="24"/>
          <w:lang w:val="hr-HR"/>
        </w:rPr>
        <w:t xml:space="preserve">okvirno </w:t>
      </w:r>
      <w:r w:rsidR="00F01818" w:rsidRPr="00F01818">
        <w:rPr>
          <w:sz w:val="24"/>
          <w:szCs w:val="24"/>
          <w:lang w:val="hr-HR"/>
        </w:rPr>
        <w:t>140</w:t>
      </w:r>
      <w:r w:rsidRPr="00F01818">
        <w:rPr>
          <w:sz w:val="24"/>
          <w:szCs w:val="24"/>
          <w:lang w:val="hr-HR"/>
        </w:rPr>
        <w:t xml:space="preserve"> </w:t>
      </w:r>
      <w:r w:rsidR="005C4C46" w:rsidRPr="00F01818">
        <w:rPr>
          <w:sz w:val="24"/>
          <w:szCs w:val="24"/>
        </w:rPr>
        <w:t>novinara/novinarki za novinarske radove i istraživanja na teme koje su od javnog interesa iz područja kulture, zdravstva, lokalnih tema, ekumenizma i religije, ljudskih prava, položaja žena u društvu, tema od interesa za manjine u društvu, djece i mladih, obrazovanja, sporta, gospodarstva, međunarodnih odnosa i Europske unije</w:t>
      </w:r>
      <w:r w:rsidRPr="00F01818">
        <w:rPr>
          <w:sz w:val="24"/>
          <w:szCs w:val="24"/>
          <w:lang w:val="hr-HR"/>
        </w:rPr>
        <w:t>.</w:t>
      </w:r>
      <w:r w:rsidR="00310E1A" w:rsidRPr="00F01818">
        <w:rPr>
          <w:sz w:val="24"/>
          <w:szCs w:val="24"/>
          <w:lang w:val="hr-HR"/>
        </w:rPr>
        <w:t xml:space="preserve"> </w:t>
      </w:r>
      <w:r w:rsidR="00577C94" w:rsidRPr="00F01818">
        <w:rPr>
          <w:sz w:val="24"/>
          <w:szCs w:val="24"/>
          <w:lang w:val="hr-HR"/>
        </w:rPr>
        <w:t xml:space="preserve"> </w:t>
      </w:r>
    </w:p>
    <w:p w14:paraId="281A2C96" w14:textId="14E04D1F" w:rsidR="0050521D" w:rsidRPr="00F01818" w:rsidRDefault="00C16ED0" w:rsidP="00C16ED0">
      <w:pPr>
        <w:spacing w:after="0"/>
        <w:rPr>
          <w:sz w:val="24"/>
          <w:szCs w:val="24"/>
        </w:rPr>
      </w:pPr>
      <w:r w:rsidRPr="00F01818">
        <w:rPr>
          <w:sz w:val="24"/>
          <w:szCs w:val="24"/>
          <w:lang w:val="hr-HR"/>
        </w:rPr>
        <w:t>Za 202</w:t>
      </w:r>
      <w:r w:rsidR="00F01818" w:rsidRPr="00F01818">
        <w:rPr>
          <w:sz w:val="24"/>
          <w:szCs w:val="24"/>
          <w:lang w:val="hr-HR"/>
        </w:rPr>
        <w:t>7</w:t>
      </w:r>
      <w:r w:rsidRPr="00F01818">
        <w:rPr>
          <w:sz w:val="24"/>
          <w:szCs w:val="24"/>
          <w:lang w:val="hr-HR"/>
        </w:rPr>
        <w:t>. i 202</w:t>
      </w:r>
      <w:r w:rsidR="00F01818" w:rsidRPr="00F01818">
        <w:rPr>
          <w:sz w:val="24"/>
          <w:szCs w:val="24"/>
          <w:lang w:val="hr-HR"/>
        </w:rPr>
        <w:t>8</w:t>
      </w:r>
      <w:r w:rsidR="009F1EC3" w:rsidRPr="00F01818">
        <w:rPr>
          <w:sz w:val="24"/>
          <w:szCs w:val="24"/>
          <w:lang w:val="hr-HR"/>
        </w:rPr>
        <w:t>.</w:t>
      </w:r>
      <w:r w:rsidRPr="00F01818">
        <w:rPr>
          <w:sz w:val="24"/>
          <w:szCs w:val="24"/>
          <w:lang w:val="hr-HR"/>
        </w:rPr>
        <w:t xml:space="preserve"> </w:t>
      </w:r>
      <w:r w:rsidR="00577C94" w:rsidRPr="00F01818">
        <w:rPr>
          <w:sz w:val="24"/>
          <w:szCs w:val="24"/>
          <w:lang w:val="hr-HR"/>
        </w:rPr>
        <w:t xml:space="preserve">godinu </w:t>
      </w:r>
      <w:r w:rsidRPr="00F01818">
        <w:rPr>
          <w:sz w:val="24"/>
          <w:szCs w:val="24"/>
          <w:lang w:val="hr-HR"/>
        </w:rPr>
        <w:t xml:space="preserve">očekuje se financiranje </w:t>
      </w:r>
      <w:r w:rsidR="006658C8" w:rsidRPr="00F01818">
        <w:rPr>
          <w:sz w:val="24"/>
          <w:szCs w:val="24"/>
          <w:lang w:val="hr-HR"/>
        </w:rPr>
        <w:t xml:space="preserve">okvirno </w:t>
      </w:r>
      <w:r w:rsidR="00C141DF" w:rsidRPr="00F01818">
        <w:rPr>
          <w:sz w:val="24"/>
          <w:szCs w:val="24"/>
          <w:lang w:val="hr-HR"/>
        </w:rPr>
        <w:t xml:space="preserve">približno </w:t>
      </w:r>
      <w:r w:rsidRPr="00F01818">
        <w:rPr>
          <w:sz w:val="24"/>
          <w:szCs w:val="24"/>
          <w:lang w:val="hr-HR"/>
        </w:rPr>
        <w:t>jednakog broja</w:t>
      </w:r>
      <w:r w:rsidR="005C4C46" w:rsidRPr="00F01818">
        <w:rPr>
          <w:sz w:val="24"/>
          <w:szCs w:val="24"/>
          <w:lang w:val="hr-HR"/>
        </w:rPr>
        <w:t xml:space="preserve"> </w:t>
      </w:r>
      <w:r w:rsidR="005C4C46" w:rsidRPr="00F01818">
        <w:rPr>
          <w:sz w:val="24"/>
          <w:szCs w:val="24"/>
        </w:rPr>
        <w:t>novinara/novinarki</w:t>
      </w:r>
      <w:r w:rsidR="002D4F67" w:rsidRPr="00F01818">
        <w:rPr>
          <w:sz w:val="24"/>
          <w:szCs w:val="24"/>
        </w:rPr>
        <w:t>.</w:t>
      </w:r>
    </w:p>
    <w:p w14:paraId="717FB85B" w14:textId="77777777" w:rsidR="00EF2B23" w:rsidRPr="00A33403" w:rsidRDefault="00EF2B23" w:rsidP="00C16ED0">
      <w:pPr>
        <w:spacing w:after="0"/>
        <w:rPr>
          <w:color w:val="EE0000"/>
          <w:szCs w:val="22"/>
        </w:rPr>
      </w:pPr>
    </w:p>
    <w:p w14:paraId="58641F11" w14:textId="77777777" w:rsidR="0050521D" w:rsidRPr="00A33403" w:rsidRDefault="0050521D" w:rsidP="00C16ED0">
      <w:pPr>
        <w:spacing w:after="0"/>
        <w:rPr>
          <w:color w:val="EE0000"/>
          <w:szCs w:val="22"/>
        </w:rPr>
      </w:pPr>
    </w:p>
    <w:p w14:paraId="49BBAEB8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3DE0EE8F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42E1926B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397C43C1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07BAE44D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357B29E5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7EE984CC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78B90491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7969F909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38E79BBD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65AB31C2" w14:textId="77777777" w:rsidR="000308F0" w:rsidRPr="00A33403" w:rsidRDefault="000308F0" w:rsidP="00C16ED0">
      <w:pPr>
        <w:spacing w:after="0"/>
        <w:rPr>
          <w:color w:val="EE0000"/>
          <w:szCs w:val="22"/>
        </w:rPr>
      </w:pPr>
    </w:p>
    <w:p w14:paraId="24475CD1" w14:textId="4E1DF61A" w:rsidR="00F2089A" w:rsidRPr="00F01818" w:rsidRDefault="00F2089A" w:rsidP="00B24D54">
      <w:pPr>
        <w:pStyle w:val="Heading8"/>
        <w:jc w:val="left"/>
        <w:rPr>
          <w:lang w:val="hr-HR"/>
        </w:rPr>
      </w:pPr>
      <w:r w:rsidRPr="00F01818">
        <w:rPr>
          <w:lang w:val="hr-HR"/>
        </w:rPr>
        <w:lastRenderedPageBreak/>
        <w:t>Pokazatelji rezultata</w:t>
      </w:r>
    </w:p>
    <w:p w14:paraId="5ED68471" w14:textId="77777777" w:rsidR="00C16ED0" w:rsidRPr="00F01818" w:rsidRDefault="00C16ED0" w:rsidP="00C16ED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StilTablice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125"/>
        <w:gridCol w:w="2326"/>
        <w:gridCol w:w="2125"/>
        <w:gridCol w:w="914"/>
        <w:gridCol w:w="1103"/>
        <w:gridCol w:w="914"/>
        <w:gridCol w:w="914"/>
        <w:gridCol w:w="1056"/>
      </w:tblGrid>
      <w:tr w:rsidR="00F01818" w:rsidRPr="00F01818" w14:paraId="014E01A2" w14:textId="77777777" w:rsidTr="00DF136C">
        <w:trPr>
          <w:jc w:val="center"/>
        </w:trPr>
        <w:tc>
          <w:tcPr>
            <w:tcW w:w="2125" w:type="dxa"/>
            <w:shd w:val="clear" w:color="auto" w:fill="B5C0D8"/>
          </w:tcPr>
          <w:p w14:paraId="7C37C27C" w14:textId="24663643" w:rsidR="00F2089A" w:rsidRPr="00F01818" w:rsidRDefault="00F2089A" w:rsidP="00F04B51">
            <w:pPr>
              <w:jc w:val="center"/>
              <w:rPr>
                <w:sz w:val="22"/>
                <w:szCs w:val="22"/>
                <w:lang w:val="hr-HR"/>
              </w:rPr>
            </w:pPr>
            <w:r w:rsidRPr="00F01818">
              <w:rPr>
                <w:sz w:val="22"/>
                <w:szCs w:val="22"/>
                <w:lang w:val="hr-HR"/>
              </w:rPr>
              <w:t>Pokazatelj rezulta</w:t>
            </w:r>
            <w:r w:rsidR="000D7318" w:rsidRPr="00F01818">
              <w:rPr>
                <w:sz w:val="22"/>
                <w:szCs w:val="22"/>
                <w:lang w:val="hr-HR"/>
              </w:rPr>
              <w:t>ta</w:t>
            </w:r>
          </w:p>
        </w:tc>
        <w:tc>
          <w:tcPr>
            <w:tcW w:w="2326" w:type="dxa"/>
            <w:shd w:val="clear" w:color="auto" w:fill="B5C0D8"/>
          </w:tcPr>
          <w:p w14:paraId="022D07E9" w14:textId="77777777" w:rsidR="00F2089A" w:rsidRPr="00F01818" w:rsidRDefault="00F2089A" w:rsidP="00F04B51">
            <w:pPr>
              <w:pStyle w:val="CellHeader"/>
              <w:jc w:val="center"/>
              <w:rPr>
                <w:sz w:val="22"/>
                <w:lang w:val="hr-HR"/>
              </w:rPr>
            </w:pPr>
            <w:r w:rsidRPr="00F01818">
              <w:rPr>
                <w:rFonts w:cs="Times New Roman"/>
                <w:sz w:val="22"/>
                <w:lang w:val="hr-HR"/>
              </w:rPr>
              <w:t>Definicija</w:t>
            </w:r>
          </w:p>
        </w:tc>
        <w:tc>
          <w:tcPr>
            <w:tcW w:w="2125" w:type="dxa"/>
            <w:shd w:val="clear" w:color="auto" w:fill="B5C0D8"/>
          </w:tcPr>
          <w:p w14:paraId="149528AC" w14:textId="77777777" w:rsidR="00F2089A" w:rsidRPr="00F01818" w:rsidRDefault="00F2089A" w:rsidP="00F04B51">
            <w:pPr>
              <w:pStyle w:val="CellHeader"/>
              <w:jc w:val="center"/>
              <w:rPr>
                <w:sz w:val="22"/>
                <w:lang w:val="hr-HR"/>
              </w:rPr>
            </w:pPr>
            <w:r w:rsidRPr="00F01818">
              <w:rPr>
                <w:rFonts w:cs="Times New Roman"/>
                <w:sz w:val="22"/>
                <w:lang w:val="hr-HR"/>
              </w:rPr>
              <w:t>Jedinica</w:t>
            </w:r>
          </w:p>
        </w:tc>
        <w:tc>
          <w:tcPr>
            <w:tcW w:w="914" w:type="dxa"/>
            <w:shd w:val="clear" w:color="auto" w:fill="B5C0D8"/>
          </w:tcPr>
          <w:p w14:paraId="39461CB6" w14:textId="77777777" w:rsidR="00F2089A" w:rsidRPr="00F01818" w:rsidRDefault="00F2089A" w:rsidP="00F04B51">
            <w:pPr>
              <w:pStyle w:val="CellHeader"/>
              <w:jc w:val="center"/>
              <w:rPr>
                <w:sz w:val="22"/>
                <w:lang w:val="hr-HR"/>
              </w:rPr>
            </w:pPr>
            <w:r w:rsidRPr="00F01818">
              <w:rPr>
                <w:rFonts w:cs="Times New Roman"/>
                <w:sz w:val="22"/>
                <w:lang w:val="hr-HR"/>
              </w:rPr>
              <w:t>Polazna vrijednost</w:t>
            </w:r>
          </w:p>
        </w:tc>
        <w:tc>
          <w:tcPr>
            <w:tcW w:w="1103" w:type="dxa"/>
            <w:shd w:val="clear" w:color="auto" w:fill="B5C0D8"/>
          </w:tcPr>
          <w:p w14:paraId="51C854DF" w14:textId="77777777" w:rsidR="00F2089A" w:rsidRPr="00F01818" w:rsidRDefault="00F2089A" w:rsidP="00F04B51">
            <w:pPr>
              <w:pStyle w:val="CellHeader"/>
              <w:jc w:val="center"/>
              <w:rPr>
                <w:sz w:val="22"/>
                <w:lang w:val="hr-HR"/>
              </w:rPr>
            </w:pPr>
            <w:r w:rsidRPr="00F01818">
              <w:rPr>
                <w:rFonts w:cs="Times New Roman"/>
                <w:sz w:val="22"/>
                <w:lang w:val="hr-HR"/>
              </w:rPr>
              <w:t>Izvor podataka</w:t>
            </w:r>
          </w:p>
        </w:tc>
        <w:tc>
          <w:tcPr>
            <w:tcW w:w="914" w:type="dxa"/>
            <w:shd w:val="clear" w:color="auto" w:fill="B5C0D8"/>
          </w:tcPr>
          <w:p w14:paraId="0D6CD84A" w14:textId="47ACE2B6" w:rsidR="00F2089A" w:rsidRPr="00F01818" w:rsidRDefault="00F2089A" w:rsidP="00F04B51">
            <w:pPr>
              <w:pStyle w:val="CellHeader"/>
              <w:jc w:val="center"/>
              <w:rPr>
                <w:sz w:val="22"/>
                <w:lang w:val="hr-HR"/>
              </w:rPr>
            </w:pPr>
            <w:r w:rsidRPr="00F01818">
              <w:rPr>
                <w:rFonts w:cs="Times New Roman"/>
                <w:sz w:val="22"/>
                <w:lang w:val="hr-HR"/>
              </w:rPr>
              <w:t>Ciljana vrijednost (202</w:t>
            </w:r>
            <w:r w:rsidR="00AF57F5" w:rsidRPr="00F01818">
              <w:rPr>
                <w:rFonts w:cs="Times New Roman"/>
                <w:sz w:val="22"/>
                <w:lang w:val="hr-HR"/>
              </w:rPr>
              <w:t>6</w:t>
            </w:r>
            <w:r w:rsidRPr="00F01818">
              <w:rPr>
                <w:rFonts w:cs="Times New Roman"/>
                <w:sz w:val="22"/>
                <w:lang w:val="hr-HR"/>
              </w:rPr>
              <w:t>.)</w:t>
            </w:r>
          </w:p>
        </w:tc>
        <w:tc>
          <w:tcPr>
            <w:tcW w:w="914" w:type="dxa"/>
            <w:shd w:val="clear" w:color="auto" w:fill="B5C0D8"/>
          </w:tcPr>
          <w:p w14:paraId="23B24A3A" w14:textId="76D36834" w:rsidR="00F2089A" w:rsidRPr="00F01818" w:rsidRDefault="00F2089A" w:rsidP="00F04B51">
            <w:pPr>
              <w:pStyle w:val="CellHeader"/>
              <w:jc w:val="center"/>
              <w:rPr>
                <w:sz w:val="22"/>
                <w:lang w:val="hr-HR"/>
              </w:rPr>
            </w:pPr>
            <w:r w:rsidRPr="00F01818">
              <w:rPr>
                <w:rFonts w:cs="Times New Roman"/>
                <w:sz w:val="22"/>
                <w:lang w:val="hr-HR"/>
              </w:rPr>
              <w:t>Ciljana vrijednost (202</w:t>
            </w:r>
            <w:r w:rsidR="00AF57F5" w:rsidRPr="00F01818">
              <w:rPr>
                <w:rFonts w:cs="Times New Roman"/>
                <w:sz w:val="22"/>
                <w:lang w:val="hr-HR"/>
              </w:rPr>
              <w:t>7</w:t>
            </w:r>
            <w:r w:rsidRPr="00F01818">
              <w:rPr>
                <w:rFonts w:cs="Times New Roman"/>
                <w:sz w:val="22"/>
                <w:lang w:val="hr-HR"/>
              </w:rPr>
              <w:t>.)</w:t>
            </w:r>
          </w:p>
        </w:tc>
        <w:tc>
          <w:tcPr>
            <w:tcW w:w="1056" w:type="dxa"/>
            <w:shd w:val="clear" w:color="auto" w:fill="B5C0D8"/>
          </w:tcPr>
          <w:p w14:paraId="09D66785" w14:textId="006AC720" w:rsidR="00F2089A" w:rsidRPr="00F01818" w:rsidRDefault="00F2089A" w:rsidP="00F04B51">
            <w:pPr>
              <w:pStyle w:val="CellHeader"/>
              <w:jc w:val="center"/>
              <w:rPr>
                <w:sz w:val="22"/>
                <w:lang w:val="hr-HR"/>
              </w:rPr>
            </w:pPr>
            <w:r w:rsidRPr="00F01818">
              <w:rPr>
                <w:rFonts w:cs="Times New Roman"/>
                <w:sz w:val="22"/>
                <w:lang w:val="hr-HR"/>
              </w:rPr>
              <w:t>Ciljana vrijednost (202</w:t>
            </w:r>
            <w:r w:rsidR="00AF57F5" w:rsidRPr="00F01818">
              <w:rPr>
                <w:rFonts w:cs="Times New Roman"/>
                <w:sz w:val="22"/>
                <w:lang w:val="hr-HR"/>
              </w:rPr>
              <w:t>8</w:t>
            </w:r>
            <w:r w:rsidRPr="00F01818">
              <w:rPr>
                <w:rFonts w:cs="Times New Roman"/>
                <w:sz w:val="22"/>
                <w:lang w:val="hr-HR"/>
              </w:rPr>
              <w:t>.)</w:t>
            </w:r>
          </w:p>
        </w:tc>
      </w:tr>
      <w:tr w:rsidR="00F01818" w:rsidRPr="00F01818" w14:paraId="204700BC" w14:textId="77777777" w:rsidTr="00DF136C">
        <w:trPr>
          <w:jc w:val="center"/>
        </w:trPr>
        <w:tc>
          <w:tcPr>
            <w:tcW w:w="2125" w:type="dxa"/>
            <w:vAlign w:val="top"/>
          </w:tcPr>
          <w:p w14:paraId="28A14CB0" w14:textId="5E4D9966" w:rsidR="00F2089A" w:rsidRPr="00F01818" w:rsidRDefault="00F2089A" w:rsidP="00F04B51">
            <w:pPr>
              <w:pStyle w:val="CellColumn"/>
              <w:jc w:val="left"/>
              <w:rPr>
                <w:szCs w:val="20"/>
                <w:lang w:val="hr-HR"/>
              </w:rPr>
            </w:pPr>
            <w:r w:rsidRPr="00F01818">
              <w:rPr>
                <w:szCs w:val="20"/>
                <w:lang w:val="hr-HR"/>
              </w:rPr>
              <w:t>Potpora novinarima/novinarkama kroz projekt poticanja novinarske izvrsnosti</w:t>
            </w:r>
          </w:p>
        </w:tc>
        <w:tc>
          <w:tcPr>
            <w:tcW w:w="2326" w:type="dxa"/>
            <w:vAlign w:val="top"/>
          </w:tcPr>
          <w:p w14:paraId="4F07D58D" w14:textId="3020F1C4" w:rsidR="00F2089A" w:rsidRPr="00F01818" w:rsidRDefault="00F2089A" w:rsidP="00DB1029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1818">
              <w:rPr>
                <w:sz w:val="20"/>
                <w:szCs w:val="20"/>
              </w:rPr>
              <w:t xml:space="preserve">Agencija za elektroničke medije pokrenula je po prvi put u 2020. godini projekt poticanja novinarske </w:t>
            </w:r>
            <w:r w:rsidR="00DB1029" w:rsidRPr="00F01818">
              <w:rPr>
                <w:sz w:val="20"/>
                <w:szCs w:val="20"/>
              </w:rPr>
              <w:t>izvrsnosti</w:t>
            </w:r>
            <w:r w:rsidRPr="00F01818">
              <w:rPr>
                <w:sz w:val="20"/>
                <w:szCs w:val="20"/>
              </w:rPr>
              <w:t xml:space="preserve"> dodjelom bespovratnih sredstava novinarima/novinarkama za novinarske radove i istraživanja na teme koje su od javnog interesa iz područja kulture, zdravstva, lokalnih tema, ekumenizma i religije, ljudskih prava, položaja žena u društvu, tema od interesa za manjine u društvu, djece i mladih, obrazovanja, sporta, gospodarstva, međunarodnih odnosa i Europske unije. </w:t>
            </w:r>
          </w:p>
        </w:tc>
        <w:tc>
          <w:tcPr>
            <w:tcW w:w="2125" w:type="dxa"/>
          </w:tcPr>
          <w:p w14:paraId="7A9870DA" w14:textId="114F666D" w:rsidR="00F2089A" w:rsidRPr="00F01818" w:rsidRDefault="00F2089A" w:rsidP="00F04B51">
            <w:pPr>
              <w:jc w:val="center"/>
              <w:rPr>
                <w:lang w:val="hr-HR"/>
              </w:rPr>
            </w:pPr>
            <w:r w:rsidRPr="00F01818">
              <w:rPr>
                <w:lang w:val="hr-HR"/>
              </w:rPr>
              <w:t>Broj ugovora o autorskom djelu s novinarima/novinarkama</w:t>
            </w:r>
          </w:p>
        </w:tc>
        <w:tc>
          <w:tcPr>
            <w:tcW w:w="914" w:type="dxa"/>
          </w:tcPr>
          <w:p w14:paraId="452E4FA2" w14:textId="6B89BB50" w:rsidR="00F2089A" w:rsidRPr="00F01818" w:rsidRDefault="00F01818" w:rsidP="00F04B51">
            <w:pPr>
              <w:jc w:val="center"/>
              <w:rPr>
                <w:lang w:val="hr-HR"/>
              </w:rPr>
            </w:pPr>
            <w:r w:rsidRPr="00F01818">
              <w:rPr>
                <w:lang w:val="hr-HR"/>
              </w:rPr>
              <w:t>140</w:t>
            </w:r>
          </w:p>
        </w:tc>
        <w:tc>
          <w:tcPr>
            <w:tcW w:w="1103" w:type="dxa"/>
          </w:tcPr>
          <w:p w14:paraId="1CB1DE2F" w14:textId="77777777" w:rsidR="00F2089A" w:rsidRPr="00F01818" w:rsidRDefault="00F2089A" w:rsidP="00F04B51">
            <w:pPr>
              <w:pStyle w:val="CellColumn"/>
              <w:jc w:val="center"/>
              <w:rPr>
                <w:szCs w:val="20"/>
                <w:lang w:val="hr-HR"/>
              </w:rPr>
            </w:pPr>
            <w:r w:rsidRPr="00F01818">
              <w:rPr>
                <w:rFonts w:cs="Times New Roman"/>
                <w:szCs w:val="20"/>
                <w:lang w:val="hr-HR"/>
              </w:rPr>
              <w:t>Agencija za elektroničke medije</w:t>
            </w:r>
          </w:p>
        </w:tc>
        <w:tc>
          <w:tcPr>
            <w:tcW w:w="914" w:type="dxa"/>
          </w:tcPr>
          <w:p w14:paraId="6EA56CDD" w14:textId="333799D3" w:rsidR="00F2089A" w:rsidRPr="00F01818" w:rsidRDefault="00F01818" w:rsidP="00F04B51">
            <w:pPr>
              <w:jc w:val="center"/>
              <w:rPr>
                <w:lang w:val="hr-HR"/>
              </w:rPr>
            </w:pPr>
            <w:r w:rsidRPr="00F01818">
              <w:rPr>
                <w:lang w:val="hr-HR"/>
              </w:rPr>
              <w:t>140</w:t>
            </w:r>
          </w:p>
        </w:tc>
        <w:tc>
          <w:tcPr>
            <w:tcW w:w="914" w:type="dxa"/>
          </w:tcPr>
          <w:p w14:paraId="5B4E588A" w14:textId="1697FEC5" w:rsidR="00F2089A" w:rsidRPr="00F01818" w:rsidRDefault="00F01818" w:rsidP="00F04B51">
            <w:pPr>
              <w:jc w:val="center"/>
              <w:rPr>
                <w:lang w:val="hr-HR"/>
              </w:rPr>
            </w:pPr>
            <w:r w:rsidRPr="00F01818">
              <w:rPr>
                <w:lang w:val="hr-HR"/>
              </w:rPr>
              <w:t>140</w:t>
            </w:r>
          </w:p>
        </w:tc>
        <w:tc>
          <w:tcPr>
            <w:tcW w:w="1056" w:type="dxa"/>
          </w:tcPr>
          <w:p w14:paraId="67A78284" w14:textId="3B1EDE3F" w:rsidR="00F2089A" w:rsidRPr="00F01818" w:rsidRDefault="00F01818" w:rsidP="00F04B51">
            <w:pPr>
              <w:jc w:val="center"/>
              <w:rPr>
                <w:lang w:val="hr-HR"/>
              </w:rPr>
            </w:pPr>
            <w:r w:rsidRPr="00F01818">
              <w:rPr>
                <w:lang w:val="hr-HR"/>
              </w:rPr>
              <w:t>140</w:t>
            </w:r>
          </w:p>
        </w:tc>
      </w:tr>
    </w:tbl>
    <w:p w14:paraId="6C2AEC5D" w14:textId="6E2E6231" w:rsidR="00091D27" w:rsidRPr="00A33403" w:rsidRDefault="00091D27">
      <w:pPr>
        <w:rPr>
          <w:color w:val="EE0000"/>
        </w:rPr>
      </w:pPr>
    </w:p>
    <w:p w14:paraId="0479DAB4" w14:textId="77777777" w:rsidR="00D105A6" w:rsidRPr="00A33403" w:rsidRDefault="00D105A6">
      <w:pPr>
        <w:rPr>
          <w:color w:val="EE0000"/>
        </w:rPr>
      </w:pPr>
    </w:p>
    <w:p w14:paraId="25F5E8AB" w14:textId="3690A080" w:rsidR="00091D27" w:rsidRPr="001E175C" w:rsidRDefault="00091D27" w:rsidP="00091D27">
      <w:pPr>
        <w:pStyle w:val="Heading4"/>
        <w:rPr>
          <w:lang w:val="hr-HR"/>
        </w:rPr>
      </w:pPr>
      <w:r w:rsidRPr="001E175C">
        <w:rPr>
          <w:lang w:val="hr-HR"/>
        </w:rPr>
        <w:t xml:space="preserve">A908004 NACIONALNI PLAN OPORAVKA I OTPORNOSTI </w:t>
      </w:r>
    </w:p>
    <w:p w14:paraId="65EBB2D3" w14:textId="77777777" w:rsidR="00091D27" w:rsidRPr="001E175C" w:rsidRDefault="00091D27" w:rsidP="00091D27">
      <w:pPr>
        <w:pStyle w:val="Heading8"/>
        <w:jc w:val="left"/>
        <w:rPr>
          <w:lang w:val="hr-HR"/>
        </w:rPr>
      </w:pPr>
      <w:r w:rsidRPr="001E175C">
        <w:rPr>
          <w:lang w:val="hr-HR"/>
        </w:rPr>
        <w:t>Zakonske i druge pravne osnove</w:t>
      </w:r>
    </w:p>
    <w:p w14:paraId="1E38262A" w14:textId="1306F7DE" w:rsidR="00091D27" w:rsidRPr="001E175C" w:rsidRDefault="00091D27" w:rsidP="00091D27">
      <w:pPr>
        <w:rPr>
          <w:lang w:val="hr-HR"/>
        </w:rPr>
      </w:pPr>
      <w:r w:rsidRPr="001E175C">
        <w:rPr>
          <w:lang w:val="hr-HR"/>
        </w:rPr>
        <w:t xml:space="preserve">Nacionalni plan oporavka i otpornosti </w:t>
      </w:r>
    </w:p>
    <w:p w14:paraId="24CF7F97" w14:textId="475E9527" w:rsidR="00091D27" w:rsidRPr="00A33403" w:rsidRDefault="00091D27">
      <w:pPr>
        <w:rPr>
          <w:rFonts w:ascii="Arial" w:hAnsi="Arial" w:cs="Arial"/>
          <w:color w:val="EE0000"/>
          <w:sz w:val="23"/>
          <w:szCs w:val="23"/>
        </w:rPr>
      </w:pPr>
    </w:p>
    <w:tbl>
      <w:tblPr>
        <w:tblStyle w:val="StilTablice"/>
        <w:tblW w:w="9062" w:type="dxa"/>
        <w:jc w:val="center"/>
        <w:tblLook w:val="04A0" w:firstRow="1" w:lastRow="0" w:firstColumn="1" w:lastColumn="0" w:noHBand="0" w:noVBand="1"/>
      </w:tblPr>
      <w:tblGrid>
        <w:gridCol w:w="1297"/>
        <w:gridCol w:w="1383"/>
        <w:gridCol w:w="1414"/>
        <w:gridCol w:w="1430"/>
        <w:gridCol w:w="1108"/>
        <w:gridCol w:w="1374"/>
        <w:gridCol w:w="1056"/>
      </w:tblGrid>
      <w:tr w:rsidR="002A62C3" w:rsidRPr="00A33403" w14:paraId="71DBADA1" w14:textId="77777777" w:rsidTr="002A62C3">
        <w:trPr>
          <w:jc w:val="center"/>
        </w:trPr>
        <w:tc>
          <w:tcPr>
            <w:tcW w:w="1297" w:type="dxa"/>
            <w:shd w:val="clear" w:color="auto" w:fill="B5C0D8"/>
          </w:tcPr>
          <w:p w14:paraId="3FFDA019" w14:textId="04D79D4D" w:rsidR="00BE045B" w:rsidRPr="002A62C3" w:rsidRDefault="00BE045B" w:rsidP="00BE045B">
            <w:pPr>
              <w:pStyle w:val="CellHeader"/>
              <w:jc w:val="center"/>
              <w:rPr>
                <w:lang w:val="hr-HR"/>
              </w:rPr>
            </w:pPr>
            <w:r w:rsidRPr="002A62C3">
              <w:rPr>
                <w:rFonts w:cs="Times New Roman"/>
                <w:lang w:val="hr-HR"/>
              </w:rPr>
              <w:t>Naziv aktivnosti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5C0D8"/>
          </w:tcPr>
          <w:p w14:paraId="7FF3A8F5" w14:textId="2649A663" w:rsidR="00BE045B" w:rsidRPr="002A62C3" w:rsidRDefault="00BE045B" w:rsidP="00BE045B">
            <w:pPr>
              <w:pStyle w:val="CellHeader"/>
              <w:jc w:val="center"/>
              <w:rPr>
                <w:rFonts w:cs="Times New Roman"/>
                <w:lang w:val="hr-HR"/>
              </w:rPr>
            </w:pPr>
            <w:r w:rsidRPr="002A62C3">
              <w:rPr>
                <w:rFonts w:cs="Times New Roman"/>
                <w:sz w:val="22"/>
                <w:szCs w:val="24"/>
                <w:lang w:val="hr-HR"/>
              </w:rPr>
              <w:t>Izvršenje 2024.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B5C0D8"/>
          </w:tcPr>
          <w:p w14:paraId="41A5C2F4" w14:textId="54A7B248" w:rsidR="00BE045B" w:rsidRPr="002A62C3" w:rsidRDefault="00BE045B" w:rsidP="00BE045B">
            <w:pPr>
              <w:pStyle w:val="CellHeader"/>
              <w:jc w:val="center"/>
              <w:rPr>
                <w:lang w:val="hr-HR"/>
              </w:rPr>
            </w:pPr>
            <w:r w:rsidRPr="002A62C3">
              <w:rPr>
                <w:rFonts w:cs="Times New Roman"/>
                <w:sz w:val="22"/>
                <w:szCs w:val="24"/>
                <w:lang w:val="hr-HR"/>
              </w:rPr>
              <w:t>Rebalans 2025.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B5C0D8"/>
          </w:tcPr>
          <w:p w14:paraId="0F34DF8A" w14:textId="09EA777C" w:rsidR="00BE045B" w:rsidRPr="002A62C3" w:rsidRDefault="00BE045B" w:rsidP="00BE045B">
            <w:pPr>
              <w:pStyle w:val="CellHeader"/>
              <w:jc w:val="center"/>
              <w:rPr>
                <w:lang w:val="hr-HR"/>
              </w:rPr>
            </w:pPr>
            <w:r w:rsidRPr="002A62C3">
              <w:rPr>
                <w:rFonts w:cs="Times New Roman"/>
                <w:sz w:val="22"/>
                <w:szCs w:val="24"/>
                <w:lang w:val="hr-HR"/>
              </w:rPr>
              <w:t>Plan 2026.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B5C0D8"/>
          </w:tcPr>
          <w:p w14:paraId="7A705CE3" w14:textId="451DC8FE" w:rsidR="00BE045B" w:rsidRPr="002A62C3" w:rsidRDefault="00BE045B" w:rsidP="00BE045B">
            <w:pPr>
              <w:pStyle w:val="CellHeader"/>
              <w:jc w:val="center"/>
              <w:rPr>
                <w:lang w:val="hr-HR"/>
              </w:rPr>
            </w:pPr>
            <w:r w:rsidRPr="002A62C3">
              <w:rPr>
                <w:rFonts w:cs="Times New Roman"/>
                <w:sz w:val="22"/>
                <w:szCs w:val="24"/>
                <w:lang w:val="hr-HR"/>
              </w:rPr>
              <w:t>Projekcija 2027.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B5C0D8"/>
          </w:tcPr>
          <w:p w14:paraId="43A873AA" w14:textId="025C61FA" w:rsidR="00BE045B" w:rsidRPr="002A62C3" w:rsidRDefault="00BE045B" w:rsidP="00BE045B">
            <w:pPr>
              <w:pStyle w:val="CellHeader"/>
              <w:jc w:val="center"/>
              <w:rPr>
                <w:lang w:val="hr-HR"/>
              </w:rPr>
            </w:pPr>
            <w:r w:rsidRPr="002A62C3">
              <w:rPr>
                <w:rFonts w:cs="Times New Roman"/>
                <w:sz w:val="22"/>
                <w:szCs w:val="24"/>
                <w:lang w:val="hr-HR"/>
              </w:rPr>
              <w:t>Projekcija 2028.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B5C0D8"/>
          </w:tcPr>
          <w:p w14:paraId="306A1CB2" w14:textId="59BB96EA" w:rsidR="00BE045B" w:rsidRPr="002A62C3" w:rsidRDefault="00BE045B" w:rsidP="00BE045B">
            <w:pPr>
              <w:pStyle w:val="CellHeader"/>
              <w:jc w:val="center"/>
              <w:rPr>
                <w:lang w:val="hr-HR"/>
              </w:rPr>
            </w:pPr>
            <w:r w:rsidRPr="002A62C3">
              <w:rPr>
                <w:rFonts w:cs="Times New Roman"/>
                <w:sz w:val="22"/>
                <w:szCs w:val="24"/>
                <w:lang w:val="hr-HR"/>
              </w:rPr>
              <w:t>Indeks 2026/2025</w:t>
            </w:r>
          </w:p>
        </w:tc>
      </w:tr>
      <w:tr w:rsidR="002A62C3" w:rsidRPr="00A33403" w14:paraId="612A46D9" w14:textId="77777777" w:rsidTr="002A62C3">
        <w:trPr>
          <w:jc w:val="center"/>
        </w:trPr>
        <w:tc>
          <w:tcPr>
            <w:tcW w:w="1297" w:type="dxa"/>
            <w:vAlign w:val="top"/>
          </w:tcPr>
          <w:p w14:paraId="13A0F8F2" w14:textId="721B4125" w:rsidR="00244DBE" w:rsidRPr="002A62C3" w:rsidRDefault="00244DBE" w:rsidP="00244DBE">
            <w:pPr>
              <w:pStyle w:val="CellColumn"/>
              <w:jc w:val="left"/>
              <w:rPr>
                <w:lang w:val="hr-HR"/>
              </w:rPr>
            </w:pPr>
            <w:r w:rsidRPr="002A62C3">
              <w:rPr>
                <w:rFonts w:cs="Times New Roman"/>
                <w:lang w:val="hr-HR"/>
              </w:rPr>
              <w:t>A908004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17B0E58" w14:textId="45C26DF5" w:rsidR="00244DBE" w:rsidRPr="002A62C3" w:rsidRDefault="002A62C3" w:rsidP="00244DBE">
            <w:pPr>
              <w:jc w:val="right"/>
              <w:rPr>
                <w:lang w:val="hr-HR"/>
              </w:rPr>
            </w:pPr>
            <w:r w:rsidRPr="002A62C3">
              <w:rPr>
                <w:lang w:val="hr-HR"/>
              </w:rPr>
              <w:t>1.495.622,95</w:t>
            </w:r>
            <w:r w:rsidR="00C21F3C" w:rsidRPr="002A62C3">
              <w:rPr>
                <w:lang w:val="hr-HR"/>
              </w:rPr>
              <w:t xml:space="preserve"> €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top"/>
          </w:tcPr>
          <w:p w14:paraId="08E202D0" w14:textId="7BC53060" w:rsidR="00244DBE" w:rsidRPr="002A62C3" w:rsidRDefault="002A62C3" w:rsidP="00244DBE">
            <w:pPr>
              <w:jc w:val="right"/>
              <w:rPr>
                <w:lang w:val="hr-HR"/>
              </w:rPr>
            </w:pPr>
            <w:r w:rsidRPr="002A62C3">
              <w:rPr>
                <w:lang w:val="hr-HR"/>
              </w:rPr>
              <w:t>2.547.067,31</w:t>
            </w:r>
            <w:r w:rsidR="00C21F3C" w:rsidRPr="002A62C3">
              <w:rPr>
                <w:lang w:val="hr-HR"/>
              </w:rPr>
              <w:t xml:space="preserve"> €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top"/>
          </w:tcPr>
          <w:p w14:paraId="6192ABEB" w14:textId="2BDBDAB4" w:rsidR="00244DBE" w:rsidRPr="002A62C3" w:rsidRDefault="002A62C3" w:rsidP="00244DBE">
            <w:pPr>
              <w:jc w:val="right"/>
              <w:rPr>
                <w:highlight w:val="yellow"/>
                <w:lang w:val="hr-HR"/>
              </w:rPr>
            </w:pPr>
            <w:r w:rsidRPr="002A62C3">
              <w:rPr>
                <w:lang w:val="hr-HR"/>
              </w:rPr>
              <w:t>2.451.255,00 €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top"/>
          </w:tcPr>
          <w:p w14:paraId="52DA45B7" w14:textId="45B1EE27" w:rsidR="00244DBE" w:rsidRPr="002A62C3" w:rsidRDefault="002A62C3" w:rsidP="00244DBE">
            <w:pPr>
              <w:jc w:val="right"/>
              <w:rPr>
                <w:highlight w:val="yellow"/>
                <w:lang w:val="hr-HR"/>
              </w:rPr>
            </w:pPr>
            <w:r w:rsidRPr="002A62C3">
              <w:rPr>
                <w:lang w:val="hr-HR"/>
              </w:rPr>
              <w:t>0</w:t>
            </w:r>
            <w:r w:rsidR="00C21F3C" w:rsidRPr="002A62C3">
              <w:rPr>
                <w:lang w:val="hr-HR"/>
              </w:rPr>
              <w:t>,00 €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top"/>
          </w:tcPr>
          <w:p w14:paraId="1AB1542D" w14:textId="6FF61F96" w:rsidR="00244DBE" w:rsidRPr="002A62C3" w:rsidRDefault="00C21F3C" w:rsidP="00244DBE">
            <w:pPr>
              <w:jc w:val="right"/>
              <w:rPr>
                <w:highlight w:val="yellow"/>
                <w:lang w:val="hr-HR"/>
              </w:rPr>
            </w:pPr>
            <w:r w:rsidRPr="002A62C3">
              <w:rPr>
                <w:lang w:val="hr-HR"/>
              </w:rPr>
              <w:t>0,00 €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top"/>
          </w:tcPr>
          <w:p w14:paraId="1FF6FBE5" w14:textId="48187DAE" w:rsidR="00244DBE" w:rsidRPr="002A62C3" w:rsidRDefault="002A62C3" w:rsidP="00C21F3C">
            <w:pPr>
              <w:jc w:val="center"/>
              <w:rPr>
                <w:highlight w:val="yellow"/>
                <w:lang w:val="hr-HR"/>
              </w:rPr>
            </w:pPr>
            <w:r w:rsidRPr="002A62C3">
              <w:rPr>
                <w:lang w:val="hr-HR"/>
              </w:rPr>
              <w:t>96</w:t>
            </w:r>
          </w:p>
        </w:tc>
      </w:tr>
    </w:tbl>
    <w:p w14:paraId="128CD615" w14:textId="734A4DDD" w:rsidR="00091D27" w:rsidRPr="002A62C3" w:rsidRDefault="00091D27"/>
    <w:p w14:paraId="3CAF5E18" w14:textId="3C0334B2" w:rsidR="00DA4807" w:rsidRPr="002A62C3" w:rsidRDefault="00DA4807" w:rsidP="00DA4807">
      <w:pPr>
        <w:shd w:val="clear" w:color="auto" w:fill="FFFFFF"/>
        <w:rPr>
          <w:sz w:val="24"/>
          <w:szCs w:val="24"/>
        </w:rPr>
      </w:pPr>
      <w:r w:rsidRPr="002A62C3">
        <w:rPr>
          <w:sz w:val="24"/>
          <w:szCs w:val="24"/>
        </w:rPr>
        <w:t xml:space="preserve">U sklopu Nacionalnog plana oporavka i otpornosti (2021. – 2026.), Ministarstvo kulture i medija i Agencija za elektroničke medije, kao provedbeno tijelo, nositelji su investicije </w:t>
      </w:r>
      <w:r w:rsidRPr="002A62C3">
        <w:rPr>
          <w:b/>
          <w:sz w:val="24"/>
          <w:szCs w:val="24"/>
          <w:lang w:val="en-US"/>
        </w:rPr>
        <w:t>C1.1.1. R6-I2</w:t>
      </w:r>
      <w:r w:rsidRPr="002A62C3">
        <w:rPr>
          <w:sz w:val="24"/>
          <w:szCs w:val="24"/>
        </w:rPr>
        <w:t xml:space="preserve"> </w:t>
      </w:r>
      <w:r w:rsidRPr="002A62C3">
        <w:rPr>
          <w:b/>
          <w:bCs/>
          <w:sz w:val="24"/>
          <w:szCs w:val="24"/>
        </w:rPr>
        <w:t xml:space="preserve">„Uspostava provjere medijskih činjenica i sustava javne objave </w:t>
      </w:r>
      <w:proofErr w:type="gramStart"/>
      <w:r w:rsidRPr="002A62C3">
        <w:rPr>
          <w:b/>
          <w:bCs/>
          <w:sz w:val="24"/>
          <w:szCs w:val="24"/>
        </w:rPr>
        <w:t xml:space="preserve">podataka“ </w:t>
      </w:r>
      <w:r w:rsidRPr="002A62C3">
        <w:rPr>
          <w:sz w:val="24"/>
          <w:szCs w:val="24"/>
        </w:rPr>
        <w:t>pod</w:t>
      </w:r>
      <w:proofErr w:type="gramEnd"/>
      <w:r w:rsidRPr="002A62C3">
        <w:rPr>
          <w:sz w:val="24"/>
          <w:szCs w:val="24"/>
        </w:rPr>
        <w:t xml:space="preserve"> komponentom </w:t>
      </w:r>
      <w:r w:rsidRPr="002A62C3">
        <w:rPr>
          <w:b/>
          <w:bCs/>
          <w:sz w:val="24"/>
          <w:szCs w:val="24"/>
        </w:rPr>
        <w:t>C1.1. Otporno, zeleno i digitalno gospodarstvo</w:t>
      </w:r>
      <w:r w:rsidRPr="002A62C3">
        <w:rPr>
          <w:sz w:val="24"/>
          <w:szCs w:val="24"/>
        </w:rPr>
        <w:t xml:space="preserve"> i reformskom mjerom </w:t>
      </w:r>
      <w:r w:rsidRPr="002A62C3">
        <w:rPr>
          <w:b/>
          <w:bCs/>
          <w:sz w:val="24"/>
          <w:szCs w:val="24"/>
        </w:rPr>
        <w:t>C1.1.1. R6</w:t>
      </w:r>
      <w:r w:rsidRPr="002A62C3">
        <w:rPr>
          <w:sz w:val="24"/>
          <w:szCs w:val="24"/>
        </w:rPr>
        <w:t xml:space="preserve"> „Razvoj otpornog kulturnog i kreativnog sektora“. Za provedbu navedene investicije u Nacionalnom planu oporavka i otpornosti osigurano je ukupno 50 milijuna kuna bespovratnih sredstava</w:t>
      </w:r>
      <w:r w:rsidR="00C21F3C" w:rsidRPr="002A62C3">
        <w:rPr>
          <w:sz w:val="24"/>
          <w:szCs w:val="24"/>
        </w:rPr>
        <w:t xml:space="preserve"> (6.636.140,42 EUR)</w:t>
      </w:r>
      <w:r w:rsidRPr="002A62C3">
        <w:rPr>
          <w:sz w:val="24"/>
          <w:szCs w:val="24"/>
        </w:rPr>
        <w:t>. Od toga je 45 milijuna kuna</w:t>
      </w:r>
      <w:r w:rsidR="00C21F3C" w:rsidRPr="002A62C3">
        <w:rPr>
          <w:sz w:val="24"/>
          <w:szCs w:val="24"/>
        </w:rPr>
        <w:t xml:space="preserve"> (5.972.526,38 EUR)</w:t>
      </w:r>
      <w:r w:rsidRPr="002A62C3">
        <w:rPr>
          <w:sz w:val="24"/>
          <w:szCs w:val="24"/>
        </w:rPr>
        <w:t xml:space="preserve"> namijenjeno za projekte razvoja sustava provjere točnosti informacija objavljenih u javnom prostoru, medijima i na društvenim mrežama, kao i za aktivnosti edukacija vezanih uz borbu protiv dezinformacija i razvoj sustava za računalnu provjeru informacija, te se na te projekte i aktivnosti i odnosi ovaj dokument. Preostalih 5 milijuna </w:t>
      </w:r>
      <w:r w:rsidR="00C21F3C" w:rsidRPr="002A62C3">
        <w:rPr>
          <w:sz w:val="24"/>
          <w:szCs w:val="24"/>
        </w:rPr>
        <w:t xml:space="preserve">kuna (663.614,04 EUR) </w:t>
      </w:r>
      <w:r w:rsidRPr="002A62C3">
        <w:rPr>
          <w:sz w:val="24"/>
          <w:szCs w:val="24"/>
        </w:rPr>
        <w:t xml:space="preserve">namijenjeno </w:t>
      </w:r>
      <w:r w:rsidRPr="002A62C3">
        <w:rPr>
          <w:sz w:val="24"/>
          <w:szCs w:val="24"/>
        </w:rPr>
        <w:lastRenderedPageBreak/>
        <w:t>je za investiciju uspostave sustava javne objave podataka o vlasništvu i financiraju medija, što će biti zaseban projekt, koji će provoditi Agencija za elektroničke medije.</w:t>
      </w:r>
    </w:p>
    <w:p w14:paraId="65CEE759" w14:textId="24F4B93E" w:rsidR="00DA4807" w:rsidRPr="002A62C3" w:rsidRDefault="00DA4807" w:rsidP="00DA4807">
      <w:pPr>
        <w:rPr>
          <w:sz w:val="24"/>
          <w:szCs w:val="24"/>
        </w:rPr>
      </w:pPr>
      <w:r w:rsidRPr="002A62C3">
        <w:rPr>
          <w:sz w:val="24"/>
          <w:szCs w:val="24"/>
        </w:rPr>
        <w:t xml:space="preserve">U 2022. godini krenulo se s aktivnostima pregleda stanja i sveobuhvatne analize aktualnih globalnih trendova na području novinarstva, medija, digitalnih platformi, društvenih mreža i novih tehnologija, kao i njihovog utjecaja na društvo, te fenomena  dezinformacija i  informacijskog poremećaja, pregled razvoja i potencijal primjene računalnih sustava za provjeru točnosti informacija, te analizu ključnih međunarodnih i europskih standarda i kriterija u procesu uspostave sustava provjere informacija, borbe protiv dezinformacija i jačanja vjerodostojnosti medija. Posebno je obrađen hrvatski medijski kontekst kroz dimenzije  medijskog sustava i medijskog tržišta, povjerenja u medije i druge institucije, osobine medijskih publika te kvalitetu i slobodu novinarstva. Kao rezultat nastala je Studija </w:t>
      </w:r>
      <w:r w:rsidRPr="002A62C3">
        <w:rPr>
          <w:b/>
          <w:bCs/>
          <w:sz w:val="24"/>
          <w:szCs w:val="24"/>
        </w:rPr>
        <w:t>„</w:t>
      </w:r>
      <w:r w:rsidRPr="002A62C3">
        <w:rPr>
          <w:sz w:val="24"/>
          <w:szCs w:val="24"/>
        </w:rPr>
        <w:t>Jačanje otpornosti društva na dezinformacije: analiza stanja i smjernice za djelovanje“</w:t>
      </w:r>
      <w:r w:rsidRPr="002A62C3">
        <w:rPr>
          <w:b/>
          <w:bCs/>
          <w:sz w:val="24"/>
          <w:szCs w:val="24"/>
        </w:rPr>
        <w:t xml:space="preserve">. </w:t>
      </w:r>
      <w:r w:rsidRPr="002A62C3">
        <w:rPr>
          <w:sz w:val="24"/>
          <w:szCs w:val="24"/>
        </w:rPr>
        <w:t>Na temelju Studije i sveobuhvatne analize pripremljen je dokument »Standardi i kriteriji za provedbu  javnog poziva za dodjelu bespovratnih sredstava« u kojem su razrađeni temeljni standardi, aktivnosti i kriteriji koji bi trebali informirati i dati smjernice pri oblikovanju i provođenju javnih natječaja za aktivnosti i projekte u okviru prvog dijela NPOO mjere „Uspostava provjere medijskih činjenica i sustava javne objave podataka“. Održana je i javna prezentacija S</w:t>
      </w:r>
      <w:r w:rsidR="00C04F07" w:rsidRPr="002A62C3">
        <w:rPr>
          <w:sz w:val="24"/>
          <w:szCs w:val="24"/>
        </w:rPr>
        <w:t>t</w:t>
      </w:r>
      <w:r w:rsidRPr="002A62C3">
        <w:rPr>
          <w:sz w:val="24"/>
          <w:szCs w:val="24"/>
        </w:rPr>
        <w:t>udije i dokumenta »Standardi i kriteriji«, koji je bio i u javnom savjetovanju, a pripremaju se promocije i prezentacije projekta u nekoliko većih hrvatskih gradova.</w:t>
      </w:r>
    </w:p>
    <w:p w14:paraId="5BA94D90" w14:textId="77777777" w:rsidR="000D7318" w:rsidRPr="002A62C3" w:rsidRDefault="00DA4807" w:rsidP="00DA4807">
      <w:pPr>
        <w:widowControl w:val="0"/>
        <w:overflowPunct/>
        <w:adjustRightInd/>
        <w:spacing w:after="0"/>
        <w:ind w:right="211"/>
        <w:textAlignment w:val="auto"/>
        <w:rPr>
          <w:sz w:val="24"/>
          <w:szCs w:val="24"/>
          <w:lang w:val="hr-HR"/>
        </w:rPr>
      </w:pPr>
      <w:r w:rsidRPr="002A62C3">
        <w:rPr>
          <w:sz w:val="24"/>
          <w:szCs w:val="24"/>
          <w:lang w:val="hr-HR"/>
        </w:rPr>
        <w:t>Također je pokrenut postupak jednostavne javne nabave savjetodavne usluge za  razvoj sustava (platforme) javne objave podataka o vlasništvu i načinu financiranja medija i za pripremu tehničkog aspekta provedbe postupka nabave za izradu platforme za objavu podataka o vlasništvu i financiranju medija, kao i za analizu, s predmetnom platformom, povezanih poslovnih procesa, te je pokrenut postupak javne nabave usluge vanjskih stručnjaka za upravljanje projektom.</w:t>
      </w:r>
      <w:r w:rsidR="000D7318" w:rsidRPr="002A62C3">
        <w:rPr>
          <w:sz w:val="24"/>
          <w:szCs w:val="24"/>
          <w:lang w:val="hr-HR"/>
        </w:rPr>
        <w:t xml:space="preserve"> </w:t>
      </w:r>
    </w:p>
    <w:p w14:paraId="27F34ED9" w14:textId="77777777" w:rsidR="009149EC" w:rsidRPr="002A62C3" w:rsidRDefault="009149EC" w:rsidP="009149EC">
      <w:pPr>
        <w:pStyle w:val="NormalWeb"/>
        <w:jc w:val="both"/>
      </w:pPr>
      <w:r w:rsidRPr="002A62C3">
        <w:t>Tijekom 2023. kroz dva Javna poziva za dodjelu bespovratnih sredstava odabran je ukupno 21 projektni prijedlog. Odabrani </w:t>
      </w:r>
      <w:proofErr w:type="spellStart"/>
      <w:r w:rsidRPr="002A62C3">
        <w:rPr>
          <w:rStyle w:val="Emphasis"/>
        </w:rPr>
        <w:t>fact-checking</w:t>
      </w:r>
      <w:proofErr w:type="spellEnd"/>
      <w:r w:rsidRPr="002A62C3">
        <w:t xml:space="preserve"> projekti bave se vrlo raznolikim spektrom tema od medicine i zdravlja, klimatskih promjena, obrambenih i sigurnosnih pitanja, hrane i prehrambene industrije, manjina, ravnopravnosti spolova, turizma, kulture, energije, tehnologije i računarstva, energetike, pa do vjerskih tema, populacije mladih, javnog i zajedničkog dobra i informacija vezanih uz povijesne, kulturne i društvene teme 19. i 20. stoljeća, sve do Domovinskog rata. Svi odabrani projekti imat će i obavezu surađivati na suradničkoj platformi projekta Točno tako, koju će uspostaviti Agencija za elektroničke medije, a koja će biti središnje mjesto gdje će neovisni provjeravatelji objavljivati provjerene informacije. </w:t>
      </w:r>
    </w:p>
    <w:p w14:paraId="3C2497F9" w14:textId="77777777" w:rsidR="009149EC" w:rsidRPr="002A62C3" w:rsidRDefault="009149EC" w:rsidP="009149EC">
      <w:pPr>
        <w:pStyle w:val="NormalWeb"/>
        <w:jc w:val="both"/>
      </w:pPr>
      <w:r w:rsidRPr="002A62C3">
        <w:t xml:space="preserve">Zatim, putem Javne nabave odabrani su izvođači za platforme – suradnička platforma za </w:t>
      </w:r>
      <w:proofErr w:type="spellStart"/>
      <w:r w:rsidRPr="002A62C3">
        <w:t>fact-checking</w:t>
      </w:r>
      <w:proofErr w:type="spellEnd"/>
      <w:r w:rsidRPr="002A62C3">
        <w:t xml:space="preserve"> i platforma za objavu vlasništva i načina funkcioniranja medija.</w:t>
      </w:r>
    </w:p>
    <w:p w14:paraId="62E70DB0" w14:textId="0F6F2E36" w:rsidR="009149EC" w:rsidRPr="002A62C3" w:rsidRDefault="009149EC" w:rsidP="009149EC">
      <w:pPr>
        <w:pStyle w:val="NormalWeb"/>
        <w:jc w:val="both"/>
      </w:pPr>
      <w:r w:rsidRPr="002A62C3">
        <w:t xml:space="preserve">Tijekom 2024. provodili su se radovi na uspostavi suradničke platforme za </w:t>
      </w:r>
      <w:proofErr w:type="spellStart"/>
      <w:r w:rsidRPr="002A62C3">
        <w:t>fact-checking</w:t>
      </w:r>
      <w:proofErr w:type="spellEnd"/>
      <w:r w:rsidRPr="002A62C3">
        <w:t xml:space="preserve">, koji je uspostavljena i s radom počela sredinom listopada 2024. Do kraja prosinca 2024. funkcionalnom </w:t>
      </w:r>
      <w:r w:rsidR="002A62C3" w:rsidRPr="002A62C3">
        <w:t>je</w:t>
      </w:r>
      <w:r w:rsidRPr="002A62C3">
        <w:t xml:space="preserve"> posta</w:t>
      </w:r>
      <w:r w:rsidR="002A62C3" w:rsidRPr="002A62C3">
        <w:t>la</w:t>
      </w:r>
      <w:r w:rsidRPr="002A62C3">
        <w:t xml:space="preserve"> i platforma za vlasništvo i način financiranja medija. Provedena je Javna nabava za odabir nakladnika koji će objaviti 10 knjiga u sklopu biblioteke </w:t>
      </w:r>
      <w:proofErr w:type="spellStart"/>
      <w:r w:rsidRPr="002A62C3">
        <w:t>MediaLAB</w:t>
      </w:r>
      <w:proofErr w:type="spellEnd"/>
      <w:r w:rsidRPr="002A62C3">
        <w:t xml:space="preserve"> koju pokreće Agencija za elektroničke medije.</w:t>
      </w:r>
    </w:p>
    <w:p w14:paraId="5504F7CC" w14:textId="43E10A4E" w:rsidR="009149EC" w:rsidRPr="002A62C3" w:rsidRDefault="009149EC" w:rsidP="009149EC">
      <w:pPr>
        <w:pStyle w:val="NormalWeb"/>
        <w:jc w:val="both"/>
        <w:rPr>
          <w:color w:val="EE0000"/>
          <w:sz w:val="28"/>
        </w:rPr>
      </w:pPr>
      <w:r w:rsidRPr="002A62C3">
        <w:t>U 2025. započe</w:t>
      </w:r>
      <w:r w:rsidR="002A62C3" w:rsidRPr="002A62C3">
        <w:t>lo</w:t>
      </w:r>
      <w:r w:rsidRPr="002A62C3">
        <w:t xml:space="preserve"> </w:t>
      </w:r>
      <w:r w:rsidR="002A62C3" w:rsidRPr="002A62C3">
        <w:t>je</w:t>
      </w:r>
      <w:r w:rsidRPr="002A62C3">
        <w:t xml:space="preserve"> s izdavanjem knjiga unutar biblioteke </w:t>
      </w:r>
      <w:proofErr w:type="spellStart"/>
      <w:r w:rsidRPr="002A62C3">
        <w:t>MediaLAB</w:t>
      </w:r>
      <w:proofErr w:type="spellEnd"/>
      <w:r w:rsidRPr="002A62C3">
        <w:t>, tehnički će se upravljati i održavati platforma Točno tako (</w:t>
      </w:r>
      <w:proofErr w:type="spellStart"/>
      <w:r w:rsidRPr="002A62C3">
        <w:t>fact-checking</w:t>
      </w:r>
      <w:proofErr w:type="spellEnd"/>
      <w:r w:rsidRPr="002A62C3">
        <w:t>), u potpunu funkcionalnost stav</w:t>
      </w:r>
      <w:r w:rsidR="002A62C3" w:rsidRPr="002A62C3">
        <w:t>ila</w:t>
      </w:r>
      <w:r w:rsidRPr="002A62C3">
        <w:t xml:space="preserve"> se platforma za vlasništvo i financiranje medija. Provoditi će se brojne edukativne aktivnosti, od radionica </w:t>
      </w:r>
      <w:r w:rsidRPr="002A62C3">
        <w:lastRenderedPageBreak/>
        <w:t>do konferencija ili pokretanja medijskih platformi i programa u svrhu jačanja otpornosti društva na dezinformacije i poticanja kvalitetnog novinarstva.</w:t>
      </w:r>
    </w:p>
    <w:p w14:paraId="5CD801E9" w14:textId="77777777" w:rsidR="009149EC" w:rsidRPr="00A33403" w:rsidRDefault="009149EC" w:rsidP="00DA4807">
      <w:pPr>
        <w:widowControl w:val="0"/>
        <w:overflowPunct/>
        <w:adjustRightInd/>
        <w:spacing w:after="0"/>
        <w:ind w:right="211"/>
        <w:textAlignment w:val="auto"/>
        <w:rPr>
          <w:color w:val="EE0000"/>
          <w:szCs w:val="22"/>
          <w:lang w:val="hr-HR"/>
        </w:rPr>
      </w:pPr>
    </w:p>
    <w:p w14:paraId="51347DE7" w14:textId="4B7515DB" w:rsidR="00DA4807" w:rsidRPr="00A33403" w:rsidRDefault="00DA4807" w:rsidP="00DA4807">
      <w:pPr>
        <w:shd w:val="clear" w:color="auto" w:fill="FFFFFF"/>
        <w:rPr>
          <w:color w:val="EE0000"/>
          <w:szCs w:val="22"/>
        </w:r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5332"/>
        <w:gridCol w:w="549"/>
        <w:gridCol w:w="681"/>
      </w:tblGrid>
      <w:tr w:rsidR="00A33403" w:rsidRPr="00A33403" w14:paraId="651A7D98" w14:textId="77777777" w:rsidTr="00D235B6">
        <w:trPr>
          <w:trHeight w:val="20"/>
        </w:trPr>
        <w:tc>
          <w:tcPr>
            <w:tcW w:w="1520" w:type="pct"/>
            <w:shd w:val="clear" w:color="auto" w:fill="DBDBDB" w:themeFill="accent3" w:themeFillTint="66"/>
            <w:vAlign w:val="center"/>
          </w:tcPr>
          <w:p w14:paraId="1E0B5D17" w14:textId="77777777" w:rsidR="00DA4807" w:rsidRPr="001E175C" w:rsidRDefault="00DA4807" w:rsidP="00D235B6">
            <w:pPr>
              <w:spacing w:after="0"/>
              <w:rPr>
                <w:szCs w:val="16"/>
                <w:lang w:val="it-IT"/>
              </w:rPr>
            </w:pPr>
            <w:r w:rsidRPr="001E175C">
              <w:rPr>
                <w:szCs w:val="16"/>
                <w:lang w:val="it-IT"/>
              </w:rPr>
              <w:t xml:space="preserve">C1.1.1. R6-I2 Monitoring </w:t>
            </w:r>
            <w:proofErr w:type="spellStart"/>
            <w:r w:rsidRPr="001E175C">
              <w:rPr>
                <w:szCs w:val="16"/>
                <w:lang w:val="it-IT"/>
              </w:rPr>
              <w:t>Indicator</w:t>
            </w:r>
            <w:proofErr w:type="spellEnd"/>
          </w:p>
        </w:tc>
        <w:tc>
          <w:tcPr>
            <w:tcW w:w="2828" w:type="pct"/>
            <w:shd w:val="clear" w:color="auto" w:fill="DBDBDB" w:themeFill="accent3" w:themeFillTint="66"/>
          </w:tcPr>
          <w:p w14:paraId="34FEFA99" w14:textId="77777777" w:rsidR="00DA4807" w:rsidRPr="001E175C" w:rsidRDefault="00DA4807" w:rsidP="00D235B6">
            <w:pPr>
              <w:spacing w:after="0"/>
              <w:rPr>
                <w:szCs w:val="16"/>
              </w:rPr>
            </w:pPr>
            <w:r w:rsidRPr="001E175C">
              <w:rPr>
                <w:szCs w:val="16"/>
              </w:rPr>
              <w:t>Izrađeni standardi i kriteriji za uspostavu sustava provjere činjenica – prijedlog mora proći savjetovanje sa zainteresiranom javnošću</w:t>
            </w:r>
          </w:p>
        </w:tc>
        <w:tc>
          <w:tcPr>
            <w:tcW w:w="291" w:type="pct"/>
            <w:shd w:val="clear" w:color="auto" w:fill="DBDBDB" w:themeFill="accent3" w:themeFillTint="66"/>
            <w:noWrap/>
          </w:tcPr>
          <w:p w14:paraId="34E07EBF" w14:textId="77777777" w:rsidR="00DA4807" w:rsidRPr="001E175C" w:rsidRDefault="00DA4807" w:rsidP="00D235B6">
            <w:pPr>
              <w:spacing w:after="0"/>
              <w:jc w:val="center"/>
              <w:rPr>
                <w:szCs w:val="16"/>
                <w:lang w:val="en-GB"/>
              </w:rPr>
            </w:pPr>
            <w:r w:rsidRPr="001E175C">
              <w:rPr>
                <w:szCs w:val="16"/>
                <w:lang w:val="en-GB"/>
              </w:rPr>
              <w:t>Q2</w:t>
            </w:r>
          </w:p>
        </w:tc>
        <w:tc>
          <w:tcPr>
            <w:tcW w:w="361" w:type="pct"/>
            <w:shd w:val="clear" w:color="auto" w:fill="DBDBDB" w:themeFill="accent3" w:themeFillTint="66"/>
            <w:noWrap/>
          </w:tcPr>
          <w:p w14:paraId="236B43F3" w14:textId="77777777" w:rsidR="00DA4807" w:rsidRPr="001E175C" w:rsidRDefault="00DA4807" w:rsidP="00D235B6">
            <w:pPr>
              <w:spacing w:after="0"/>
              <w:jc w:val="center"/>
              <w:rPr>
                <w:szCs w:val="16"/>
                <w:lang w:val="en-GB"/>
              </w:rPr>
            </w:pPr>
            <w:r w:rsidRPr="001E175C">
              <w:rPr>
                <w:szCs w:val="16"/>
                <w:lang w:val="en-GB"/>
              </w:rPr>
              <w:t>2022</w:t>
            </w:r>
          </w:p>
        </w:tc>
      </w:tr>
      <w:tr w:rsidR="00A33403" w:rsidRPr="00A33403" w14:paraId="1FEE5E62" w14:textId="77777777" w:rsidTr="00D235B6">
        <w:trPr>
          <w:trHeight w:val="20"/>
        </w:trPr>
        <w:tc>
          <w:tcPr>
            <w:tcW w:w="1520" w:type="pct"/>
            <w:shd w:val="clear" w:color="auto" w:fill="DBDBDB" w:themeFill="accent3" w:themeFillTint="66"/>
            <w:vAlign w:val="center"/>
          </w:tcPr>
          <w:p w14:paraId="44511286" w14:textId="77777777" w:rsidR="00DA4807" w:rsidRPr="001E175C" w:rsidRDefault="00DA4807" w:rsidP="00D235B6">
            <w:pPr>
              <w:spacing w:after="0"/>
              <w:rPr>
                <w:szCs w:val="16"/>
                <w:lang w:val="it-IT"/>
              </w:rPr>
            </w:pPr>
            <w:r w:rsidRPr="001E175C">
              <w:rPr>
                <w:szCs w:val="16"/>
                <w:lang w:val="it-IT"/>
              </w:rPr>
              <w:t xml:space="preserve">C1.1.1. R6-I2 Monitoring </w:t>
            </w:r>
            <w:proofErr w:type="spellStart"/>
            <w:r w:rsidRPr="001E175C">
              <w:rPr>
                <w:szCs w:val="16"/>
                <w:lang w:val="it-IT"/>
              </w:rPr>
              <w:t>Indicator</w:t>
            </w:r>
            <w:proofErr w:type="spellEnd"/>
          </w:p>
        </w:tc>
        <w:tc>
          <w:tcPr>
            <w:tcW w:w="2828" w:type="pct"/>
            <w:shd w:val="clear" w:color="auto" w:fill="DBDBDB" w:themeFill="accent3" w:themeFillTint="66"/>
          </w:tcPr>
          <w:p w14:paraId="75408481" w14:textId="77777777" w:rsidR="00DA4807" w:rsidRPr="001E175C" w:rsidRDefault="00DA4807" w:rsidP="00D235B6">
            <w:pPr>
              <w:spacing w:after="0"/>
              <w:rPr>
                <w:szCs w:val="16"/>
              </w:rPr>
            </w:pPr>
            <w:r w:rsidRPr="001E175C">
              <w:rPr>
                <w:szCs w:val="16"/>
              </w:rPr>
              <w:t>Objava natječaja za uspostavu provjere medijskih činjenica te natječaj za sustav javne objave podataka</w:t>
            </w:r>
          </w:p>
        </w:tc>
        <w:tc>
          <w:tcPr>
            <w:tcW w:w="291" w:type="pct"/>
            <w:shd w:val="clear" w:color="auto" w:fill="DBDBDB" w:themeFill="accent3" w:themeFillTint="66"/>
            <w:noWrap/>
          </w:tcPr>
          <w:p w14:paraId="4728434C" w14:textId="77777777" w:rsidR="00DA4807" w:rsidRPr="001E175C" w:rsidRDefault="00DA4807" w:rsidP="00D235B6">
            <w:pPr>
              <w:spacing w:after="0"/>
              <w:jc w:val="center"/>
              <w:rPr>
                <w:szCs w:val="16"/>
                <w:lang w:val="en-GB"/>
              </w:rPr>
            </w:pPr>
            <w:r w:rsidRPr="001E175C">
              <w:rPr>
                <w:szCs w:val="16"/>
                <w:lang w:val="en-GB"/>
              </w:rPr>
              <w:t>Q4</w:t>
            </w:r>
          </w:p>
        </w:tc>
        <w:tc>
          <w:tcPr>
            <w:tcW w:w="361" w:type="pct"/>
            <w:shd w:val="clear" w:color="auto" w:fill="DBDBDB" w:themeFill="accent3" w:themeFillTint="66"/>
            <w:noWrap/>
          </w:tcPr>
          <w:p w14:paraId="6EAA8CF4" w14:textId="77777777" w:rsidR="00DA4807" w:rsidRPr="001E175C" w:rsidRDefault="00DA4807" w:rsidP="00D235B6">
            <w:pPr>
              <w:spacing w:after="0"/>
              <w:jc w:val="center"/>
              <w:rPr>
                <w:szCs w:val="16"/>
                <w:lang w:val="en-GB"/>
              </w:rPr>
            </w:pPr>
            <w:r w:rsidRPr="001E175C">
              <w:rPr>
                <w:szCs w:val="16"/>
                <w:lang w:val="en-GB"/>
              </w:rPr>
              <w:t>2022</w:t>
            </w:r>
          </w:p>
        </w:tc>
      </w:tr>
      <w:tr w:rsidR="00A33403" w:rsidRPr="00A33403" w14:paraId="4FFE96C5" w14:textId="77777777" w:rsidTr="00D235B6">
        <w:trPr>
          <w:trHeight w:val="20"/>
        </w:trPr>
        <w:tc>
          <w:tcPr>
            <w:tcW w:w="1520" w:type="pct"/>
            <w:shd w:val="clear" w:color="auto" w:fill="DBDBDB" w:themeFill="accent3" w:themeFillTint="66"/>
            <w:vAlign w:val="center"/>
          </w:tcPr>
          <w:p w14:paraId="16A7A541" w14:textId="77777777" w:rsidR="00DA4807" w:rsidRPr="001E175C" w:rsidRDefault="00DA4807" w:rsidP="00D235B6">
            <w:pPr>
              <w:spacing w:after="0"/>
              <w:rPr>
                <w:szCs w:val="16"/>
                <w:lang w:val="it-IT"/>
              </w:rPr>
            </w:pPr>
            <w:r w:rsidRPr="001E175C">
              <w:rPr>
                <w:szCs w:val="16"/>
                <w:lang w:val="it-IT"/>
              </w:rPr>
              <w:t xml:space="preserve">C1.1.1. R6-I2 Monitoring </w:t>
            </w:r>
            <w:proofErr w:type="spellStart"/>
            <w:r w:rsidRPr="001E175C">
              <w:rPr>
                <w:szCs w:val="16"/>
                <w:lang w:val="it-IT"/>
              </w:rPr>
              <w:t>Indicator</w:t>
            </w:r>
            <w:proofErr w:type="spellEnd"/>
          </w:p>
        </w:tc>
        <w:tc>
          <w:tcPr>
            <w:tcW w:w="2828" w:type="pct"/>
            <w:shd w:val="clear" w:color="auto" w:fill="DBDBDB" w:themeFill="accent3" w:themeFillTint="66"/>
          </w:tcPr>
          <w:p w14:paraId="387B6550" w14:textId="77777777" w:rsidR="00DA4807" w:rsidRPr="001E175C" w:rsidRDefault="00DA4807" w:rsidP="00D235B6">
            <w:pPr>
              <w:spacing w:after="0"/>
              <w:rPr>
                <w:szCs w:val="16"/>
              </w:rPr>
            </w:pPr>
            <w:r w:rsidRPr="001E175C">
              <w:rPr>
                <w:szCs w:val="16"/>
              </w:rPr>
              <w:t>Sklopljeni ugovori za razvoj sustava provjere medijskih činjenica i sustav javne objave podataka</w:t>
            </w:r>
          </w:p>
        </w:tc>
        <w:tc>
          <w:tcPr>
            <w:tcW w:w="291" w:type="pct"/>
            <w:shd w:val="clear" w:color="auto" w:fill="DBDBDB" w:themeFill="accent3" w:themeFillTint="66"/>
            <w:noWrap/>
          </w:tcPr>
          <w:p w14:paraId="70EA7877" w14:textId="77777777" w:rsidR="00DA4807" w:rsidRPr="001E175C" w:rsidRDefault="00DA4807" w:rsidP="00D235B6">
            <w:pPr>
              <w:spacing w:after="0"/>
              <w:jc w:val="center"/>
              <w:rPr>
                <w:szCs w:val="16"/>
                <w:lang w:val="en-GB"/>
              </w:rPr>
            </w:pPr>
            <w:r w:rsidRPr="001E175C">
              <w:rPr>
                <w:szCs w:val="16"/>
                <w:lang w:val="en-GB"/>
              </w:rPr>
              <w:t>Q4</w:t>
            </w:r>
          </w:p>
        </w:tc>
        <w:tc>
          <w:tcPr>
            <w:tcW w:w="361" w:type="pct"/>
            <w:shd w:val="clear" w:color="auto" w:fill="DBDBDB" w:themeFill="accent3" w:themeFillTint="66"/>
            <w:noWrap/>
          </w:tcPr>
          <w:p w14:paraId="6E1C553A" w14:textId="77777777" w:rsidR="00DA4807" w:rsidRPr="001E175C" w:rsidRDefault="00DA4807" w:rsidP="00D235B6">
            <w:pPr>
              <w:spacing w:after="0"/>
              <w:jc w:val="center"/>
              <w:rPr>
                <w:szCs w:val="16"/>
                <w:lang w:val="en-GB"/>
              </w:rPr>
            </w:pPr>
            <w:r w:rsidRPr="001E175C">
              <w:rPr>
                <w:szCs w:val="16"/>
                <w:lang w:val="en-GB"/>
              </w:rPr>
              <w:t>2023</w:t>
            </w:r>
          </w:p>
        </w:tc>
      </w:tr>
      <w:tr w:rsidR="00A33403" w:rsidRPr="00A33403" w14:paraId="6C310137" w14:textId="77777777" w:rsidTr="00D235B6">
        <w:trPr>
          <w:trHeight w:val="20"/>
        </w:trPr>
        <w:tc>
          <w:tcPr>
            <w:tcW w:w="1520" w:type="pct"/>
            <w:shd w:val="clear" w:color="auto" w:fill="DBDBDB" w:themeFill="accent3" w:themeFillTint="66"/>
            <w:vAlign w:val="center"/>
          </w:tcPr>
          <w:p w14:paraId="74EAD16A" w14:textId="77777777" w:rsidR="00DA4807" w:rsidRPr="001E175C" w:rsidRDefault="00DA4807" w:rsidP="00D235B6">
            <w:pPr>
              <w:spacing w:after="0"/>
              <w:rPr>
                <w:szCs w:val="16"/>
                <w:lang w:val="it-IT"/>
              </w:rPr>
            </w:pPr>
            <w:r w:rsidRPr="001E175C">
              <w:rPr>
                <w:szCs w:val="16"/>
                <w:lang w:val="it-IT"/>
              </w:rPr>
              <w:t xml:space="preserve">C1.1.1. R6-I2 Monitoring </w:t>
            </w:r>
            <w:proofErr w:type="spellStart"/>
            <w:r w:rsidRPr="001E175C">
              <w:rPr>
                <w:szCs w:val="16"/>
                <w:lang w:val="it-IT"/>
              </w:rPr>
              <w:t>Indicator</w:t>
            </w:r>
            <w:proofErr w:type="spellEnd"/>
          </w:p>
        </w:tc>
        <w:tc>
          <w:tcPr>
            <w:tcW w:w="2828" w:type="pct"/>
            <w:shd w:val="clear" w:color="auto" w:fill="DBDBDB" w:themeFill="accent3" w:themeFillTint="66"/>
          </w:tcPr>
          <w:p w14:paraId="6F70C525" w14:textId="77777777" w:rsidR="00DA4807" w:rsidRPr="001E175C" w:rsidRDefault="00DA4807" w:rsidP="00D235B6">
            <w:pPr>
              <w:spacing w:after="0"/>
              <w:rPr>
                <w:szCs w:val="16"/>
              </w:rPr>
            </w:pPr>
            <w:r w:rsidRPr="001E175C">
              <w:rPr>
                <w:szCs w:val="16"/>
              </w:rPr>
              <w:t xml:space="preserve">Dostava, Europskoj komisiji, izvješće o napretku uspostave provjere medijskih činjenica i sustava javne objave podataka </w:t>
            </w:r>
          </w:p>
        </w:tc>
        <w:tc>
          <w:tcPr>
            <w:tcW w:w="291" w:type="pct"/>
            <w:shd w:val="clear" w:color="auto" w:fill="DBDBDB" w:themeFill="accent3" w:themeFillTint="66"/>
            <w:noWrap/>
          </w:tcPr>
          <w:p w14:paraId="5447FD2C" w14:textId="77777777" w:rsidR="00DA4807" w:rsidRPr="001E175C" w:rsidRDefault="00DA4807" w:rsidP="00D235B6">
            <w:pPr>
              <w:spacing w:after="0"/>
              <w:jc w:val="center"/>
              <w:rPr>
                <w:szCs w:val="16"/>
                <w:lang w:val="en-GB"/>
              </w:rPr>
            </w:pPr>
            <w:r w:rsidRPr="001E175C">
              <w:rPr>
                <w:szCs w:val="16"/>
                <w:lang w:val="en-GB"/>
              </w:rPr>
              <w:t>Q4</w:t>
            </w:r>
          </w:p>
        </w:tc>
        <w:tc>
          <w:tcPr>
            <w:tcW w:w="361" w:type="pct"/>
            <w:shd w:val="clear" w:color="auto" w:fill="DBDBDB" w:themeFill="accent3" w:themeFillTint="66"/>
            <w:noWrap/>
          </w:tcPr>
          <w:p w14:paraId="68C86E01" w14:textId="77777777" w:rsidR="00DA4807" w:rsidRPr="001E175C" w:rsidRDefault="00DA4807" w:rsidP="00D235B6">
            <w:pPr>
              <w:spacing w:after="0"/>
              <w:jc w:val="center"/>
              <w:rPr>
                <w:szCs w:val="16"/>
                <w:lang w:val="en-GB"/>
              </w:rPr>
            </w:pPr>
            <w:r w:rsidRPr="001E175C">
              <w:rPr>
                <w:szCs w:val="16"/>
                <w:lang w:val="en-GB"/>
              </w:rPr>
              <w:t>2024</w:t>
            </w:r>
          </w:p>
        </w:tc>
      </w:tr>
      <w:tr w:rsidR="000601BD" w:rsidRPr="00A33403" w14:paraId="2F6BB002" w14:textId="77777777" w:rsidTr="00D235B6">
        <w:trPr>
          <w:trHeight w:val="20"/>
        </w:trPr>
        <w:tc>
          <w:tcPr>
            <w:tcW w:w="1520" w:type="pct"/>
            <w:shd w:val="clear" w:color="auto" w:fill="DBDBDB" w:themeFill="accent3" w:themeFillTint="66"/>
            <w:vAlign w:val="center"/>
          </w:tcPr>
          <w:p w14:paraId="557276BC" w14:textId="6E6F5154" w:rsidR="00DA4807" w:rsidRPr="001E175C" w:rsidRDefault="00DA4807" w:rsidP="00D235B6">
            <w:pPr>
              <w:spacing w:after="0"/>
              <w:rPr>
                <w:szCs w:val="16"/>
                <w:u w:val="single"/>
                <w:lang w:val="it-IT"/>
              </w:rPr>
            </w:pPr>
            <w:r w:rsidRPr="001E175C">
              <w:rPr>
                <w:szCs w:val="16"/>
                <w:u w:val="single"/>
                <w:lang w:val="en-GB"/>
              </w:rPr>
              <w:t>C1.1.1. R6-I2 Establishment of media fact-checking and public disclosure system</w:t>
            </w:r>
          </w:p>
        </w:tc>
        <w:tc>
          <w:tcPr>
            <w:tcW w:w="2828" w:type="pct"/>
            <w:shd w:val="clear" w:color="auto" w:fill="DBDBDB" w:themeFill="accent3" w:themeFillTint="66"/>
          </w:tcPr>
          <w:p w14:paraId="2341ECE8" w14:textId="693C8405" w:rsidR="00DA4807" w:rsidRPr="001E175C" w:rsidRDefault="00DA4807" w:rsidP="00D235B6">
            <w:pPr>
              <w:spacing w:after="0"/>
              <w:rPr>
                <w:szCs w:val="16"/>
                <w:u w:val="single"/>
              </w:rPr>
            </w:pPr>
            <w:r w:rsidRPr="001E175C">
              <w:rPr>
                <w:szCs w:val="16"/>
                <w:u w:val="single"/>
              </w:rPr>
              <w:t xml:space="preserve">Uspostavljen sustav </w:t>
            </w:r>
            <w:r w:rsidRPr="001E175C">
              <w:rPr>
                <w:u w:val="single"/>
                <w:lang w:val="hr-HR"/>
              </w:rPr>
              <w:t>za provjeru činjenica, a sustav objave vlasničkih struktura i izvora financiranja je funkcionalan</w:t>
            </w:r>
          </w:p>
        </w:tc>
        <w:tc>
          <w:tcPr>
            <w:tcW w:w="291" w:type="pct"/>
            <w:shd w:val="clear" w:color="auto" w:fill="DBDBDB" w:themeFill="accent3" w:themeFillTint="66"/>
            <w:noWrap/>
          </w:tcPr>
          <w:p w14:paraId="332A3542" w14:textId="71A25C81" w:rsidR="00DA4807" w:rsidRPr="001E175C" w:rsidRDefault="00DA4807" w:rsidP="00D235B6">
            <w:pPr>
              <w:spacing w:after="0"/>
              <w:jc w:val="center"/>
              <w:rPr>
                <w:szCs w:val="16"/>
                <w:u w:val="single"/>
                <w:lang w:val="en-GB"/>
              </w:rPr>
            </w:pPr>
            <w:r w:rsidRPr="001E175C">
              <w:rPr>
                <w:szCs w:val="16"/>
                <w:u w:val="single"/>
                <w:lang w:val="en-GB"/>
              </w:rPr>
              <w:t>Q2</w:t>
            </w:r>
          </w:p>
        </w:tc>
        <w:tc>
          <w:tcPr>
            <w:tcW w:w="361" w:type="pct"/>
            <w:shd w:val="clear" w:color="auto" w:fill="DBDBDB" w:themeFill="accent3" w:themeFillTint="66"/>
            <w:noWrap/>
          </w:tcPr>
          <w:p w14:paraId="7549E88F" w14:textId="50FE34F3" w:rsidR="00DA4807" w:rsidRPr="001E175C" w:rsidRDefault="00DA4807" w:rsidP="00D235B6">
            <w:pPr>
              <w:spacing w:after="0"/>
              <w:jc w:val="center"/>
              <w:rPr>
                <w:szCs w:val="16"/>
                <w:u w:val="single"/>
                <w:lang w:val="en-GB"/>
              </w:rPr>
            </w:pPr>
            <w:r w:rsidRPr="001E175C">
              <w:rPr>
                <w:szCs w:val="16"/>
                <w:u w:val="single"/>
                <w:lang w:val="en-GB"/>
              </w:rPr>
              <w:t>2026</w:t>
            </w:r>
          </w:p>
        </w:tc>
      </w:tr>
    </w:tbl>
    <w:p w14:paraId="65D4569B" w14:textId="77777777" w:rsidR="00DA4807" w:rsidRPr="00A33403" w:rsidRDefault="00DA4807" w:rsidP="00DA4807">
      <w:pPr>
        <w:shd w:val="clear" w:color="auto" w:fill="FFFFFF"/>
        <w:rPr>
          <w:color w:val="EE0000"/>
          <w:szCs w:val="22"/>
        </w:rPr>
      </w:pPr>
    </w:p>
    <w:p w14:paraId="1BF67C7F" w14:textId="7063B70B" w:rsidR="00CB16C6" w:rsidRPr="002A62C3" w:rsidRDefault="00CB16C6" w:rsidP="00CB16C6">
      <w:pPr>
        <w:spacing w:after="0"/>
        <w:rPr>
          <w:sz w:val="24"/>
          <w:szCs w:val="24"/>
        </w:rPr>
      </w:pPr>
      <w:r w:rsidRPr="002A62C3">
        <w:rPr>
          <w:sz w:val="24"/>
          <w:szCs w:val="24"/>
        </w:rPr>
        <w:t>Pokaz</w:t>
      </w:r>
      <w:r w:rsidR="00C04F07" w:rsidRPr="002A62C3">
        <w:rPr>
          <w:sz w:val="24"/>
          <w:szCs w:val="24"/>
        </w:rPr>
        <w:t>a</w:t>
      </w:r>
      <w:r w:rsidRPr="002A62C3">
        <w:rPr>
          <w:sz w:val="24"/>
          <w:szCs w:val="24"/>
        </w:rPr>
        <w:t xml:space="preserve">telj </w:t>
      </w:r>
      <w:r w:rsidR="009F4077" w:rsidRPr="002A62C3">
        <w:rPr>
          <w:sz w:val="24"/>
          <w:szCs w:val="24"/>
        </w:rPr>
        <w:t>»</w:t>
      </w:r>
      <w:r w:rsidR="009F4077" w:rsidRPr="002A62C3">
        <w:rPr>
          <w:sz w:val="24"/>
          <w:szCs w:val="18"/>
        </w:rPr>
        <w:t xml:space="preserve">Uspostavljen sustav </w:t>
      </w:r>
      <w:r w:rsidR="009F4077" w:rsidRPr="002A62C3">
        <w:rPr>
          <w:sz w:val="24"/>
          <w:szCs w:val="22"/>
          <w:lang w:val="hr-HR"/>
        </w:rPr>
        <w:t>za provjeru činjenica, a sustav objave vlasničkih struktura i izvora financiranja je funkcionalan</w:t>
      </w:r>
      <w:r w:rsidR="009F4077" w:rsidRPr="002A62C3">
        <w:rPr>
          <w:sz w:val="24"/>
          <w:szCs w:val="24"/>
        </w:rPr>
        <w:t xml:space="preserve"> » </w:t>
      </w:r>
      <w:r w:rsidRPr="002A62C3">
        <w:rPr>
          <w:sz w:val="24"/>
          <w:szCs w:val="24"/>
        </w:rPr>
        <w:t xml:space="preserve">se mora ostvariti tek do kraja drugog kvartala 2026., </w:t>
      </w:r>
      <w:r w:rsidR="000850BF" w:rsidRPr="002A62C3">
        <w:rPr>
          <w:sz w:val="24"/>
          <w:szCs w:val="24"/>
        </w:rPr>
        <w:t xml:space="preserve">dok su sve ostalo </w:t>
      </w:r>
      <w:r w:rsidRPr="002A62C3">
        <w:rPr>
          <w:sz w:val="24"/>
          <w:szCs w:val="24"/>
        </w:rPr>
        <w:t xml:space="preserve">indikatori. </w:t>
      </w:r>
    </w:p>
    <w:p w14:paraId="290DB783" w14:textId="73A0BE8F" w:rsidR="00CB16C6" w:rsidRPr="00A33403" w:rsidRDefault="00CB16C6" w:rsidP="00CB16C6">
      <w:pPr>
        <w:spacing w:after="0"/>
        <w:rPr>
          <w:color w:val="EE0000"/>
          <w:szCs w:val="22"/>
        </w:rPr>
      </w:pPr>
    </w:p>
    <w:p w14:paraId="47E2672B" w14:textId="66EA3A89" w:rsidR="008B52A1" w:rsidRPr="001E175C" w:rsidRDefault="008B52A1" w:rsidP="008B52A1">
      <w:pPr>
        <w:pStyle w:val="Heading4"/>
        <w:rPr>
          <w:lang w:val="hr-HR"/>
        </w:rPr>
      </w:pPr>
      <w:r w:rsidRPr="001E175C">
        <w:rPr>
          <w:lang w:val="hr-HR"/>
        </w:rPr>
        <w:t>A908005 PROMICANJE MEDIJSKE PISMENOSTI</w:t>
      </w:r>
    </w:p>
    <w:p w14:paraId="539CC7D8" w14:textId="77777777" w:rsidR="008B52A1" w:rsidRPr="001E175C" w:rsidRDefault="008B52A1" w:rsidP="008B52A1">
      <w:pPr>
        <w:pStyle w:val="Heading8"/>
        <w:jc w:val="left"/>
        <w:rPr>
          <w:lang w:val="hr-HR"/>
        </w:rPr>
      </w:pPr>
      <w:r w:rsidRPr="001E175C">
        <w:rPr>
          <w:lang w:val="hr-HR"/>
        </w:rPr>
        <w:t>Zakonske i druge pravne osnove</w:t>
      </w:r>
    </w:p>
    <w:p w14:paraId="0E6EE429" w14:textId="457EF6B6" w:rsidR="008B52A1" w:rsidRPr="001E175C" w:rsidRDefault="009D0D97" w:rsidP="008B52A1">
      <w:pPr>
        <w:rPr>
          <w:szCs w:val="22"/>
        </w:rPr>
      </w:pPr>
      <w:r w:rsidRPr="001E175C">
        <w:rPr>
          <w:szCs w:val="22"/>
        </w:rPr>
        <w:t xml:space="preserve">Zakon o institucionalnom okviru za korištenje fondova europske unije u Republici Hrvatskoj </w:t>
      </w:r>
      <w:r w:rsidR="008B52A1" w:rsidRPr="001E175C">
        <w:rPr>
          <w:szCs w:val="22"/>
        </w:rPr>
        <w:t xml:space="preserve"> </w:t>
      </w:r>
    </w:p>
    <w:tbl>
      <w:tblPr>
        <w:tblStyle w:val="StilTablice"/>
        <w:tblW w:w="9062" w:type="dxa"/>
        <w:jc w:val="center"/>
        <w:tblLook w:val="04A0" w:firstRow="1" w:lastRow="0" w:firstColumn="1" w:lastColumn="0" w:noHBand="0" w:noVBand="1"/>
      </w:tblPr>
      <w:tblGrid>
        <w:gridCol w:w="1306"/>
        <w:gridCol w:w="1343"/>
        <w:gridCol w:w="1231"/>
        <w:gridCol w:w="1358"/>
        <w:gridCol w:w="1388"/>
        <w:gridCol w:w="1380"/>
        <w:gridCol w:w="1056"/>
      </w:tblGrid>
      <w:tr w:rsidR="00BE045B" w:rsidRPr="00A33403" w14:paraId="23011CDD" w14:textId="77777777" w:rsidTr="006B77AC">
        <w:trPr>
          <w:jc w:val="center"/>
        </w:trPr>
        <w:tc>
          <w:tcPr>
            <w:tcW w:w="1325" w:type="dxa"/>
            <w:shd w:val="clear" w:color="auto" w:fill="B5C0D8"/>
          </w:tcPr>
          <w:p w14:paraId="4F33AAF2" w14:textId="77777777" w:rsidR="00BE045B" w:rsidRPr="002A62C3" w:rsidRDefault="00BE045B" w:rsidP="00BE045B">
            <w:pPr>
              <w:pStyle w:val="CellHeader"/>
              <w:jc w:val="center"/>
              <w:rPr>
                <w:lang w:val="hr-HR"/>
              </w:rPr>
            </w:pPr>
            <w:r w:rsidRPr="002A62C3">
              <w:rPr>
                <w:rFonts w:cs="Times New Roman"/>
                <w:lang w:val="hr-HR"/>
              </w:rPr>
              <w:t>Naziv aktivnosti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B5C0D8"/>
          </w:tcPr>
          <w:p w14:paraId="0C31ECA5" w14:textId="176F4512" w:rsidR="00BE045B" w:rsidRPr="00A33403" w:rsidRDefault="00BE045B" w:rsidP="00BE045B">
            <w:pPr>
              <w:pStyle w:val="CellHeader"/>
              <w:jc w:val="center"/>
              <w:rPr>
                <w:rFonts w:cs="Times New Roman"/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Izvršenje 2024.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B5C0D8"/>
          </w:tcPr>
          <w:p w14:paraId="72502A8A" w14:textId="430BA41D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Rebalans 2025.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B5C0D8"/>
          </w:tcPr>
          <w:p w14:paraId="087CDD9B" w14:textId="147A1402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Plan 2026.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B5C0D8"/>
          </w:tcPr>
          <w:p w14:paraId="394E4552" w14:textId="003CD01B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2027.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B5C0D8"/>
          </w:tcPr>
          <w:p w14:paraId="0AC6359B" w14:textId="31FBD383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Projekcija 2028.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B5C0D8"/>
          </w:tcPr>
          <w:p w14:paraId="7103347A" w14:textId="5E7AC9D4" w:rsidR="00BE045B" w:rsidRPr="00A33403" w:rsidRDefault="00BE045B" w:rsidP="00BE045B">
            <w:pPr>
              <w:pStyle w:val="CellHeader"/>
              <w:jc w:val="center"/>
              <w:rPr>
                <w:color w:val="EE0000"/>
                <w:lang w:val="hr-HR"/>
              </w:rPr>
            </w:pPr>
            <w:r w:rsidRPr="00A4035A">
              <w:rPr>
                <w:rFonts w:cs="Times New Roman"/>
                <w:sz w:val="22"/>
                <w:szCs w:val="24"/>
                <w:lang w:val="hr-HR"/>
              </w:rPr>
              <w:t>Indeks 2026/2025</w:t>
            </w:r>
          </w:p>
        </w:tc>
      </w:tr>
      <w:tr w:rsidR="008B52A1" w:rsidRPr="00A33403" w14:paraId="6DA3EFFA" w14:textId="77777777" w:rsidTr="006B77AC">
        <w:trPr>
          <w:jc w:val="center"/>
        </w:trPr>
        <w:tc>
          <w:tcPr>
            <w:tcW w:w="1325" w:type="dxa"/>
            <w:vAlign w:val="top"/>
          </w:tcPr>
          <w:p w14:paraId="7CBD1D87" w14:textId="30E10ADF" w:rsidR="008B52A1" w:rsidRPr="00243DF6" w:rsidRDefault="008B52A1" w:rsidP="006B77AC">
            <w:pPr>
              <w:pStyle w:val="CellColumn"/>
              <w:jc w:val="left"/>
              <w:rPr>
                <w:lang w:val="hr-HR"/>
              </w:rPr>
            </w:pPr>
            <w:r w:rsidRPr="00243DF6">
              <w:rPr>
                <w:rFonts w:cs="Times New Roman"/>
                <w:lang w:val="hr-HR"/>
              </w:rPr>
              <w:t>A908005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7E22BCAD" w14:textId="7CFE937A" w:rsidR="008B52A1" w:rsidRPr="00243DF6" w:rsidRDefault="008B52A1" w:rsidP="006B77AC">
            <w:pPr>
              <w:jc w:val="right"/>
              <w:rPr>
                <w:lang w:val="hr-HR"/>
              </w:rPr>
            </w:pPr>
            <w:r w:rsidRPr="00243DF6">
              <w:rPr>
                <w:lang w:val="hr-HR"/>
              </w:rPr>
              <w:t>n/p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top"/>
          </w:tcPr>
          <w:p w14:paraId="15AD23C6" w14:textId="04B82DAF" w:rsidR="008B52A1" w:rsidRPr="00243DF6" w:rsidRDefault="002A62C3" w:rsidP="006B77AC">
            <w:pPr>
              <w:jc w:val="right"/>
              <w:rPr>
                <w:lang w:val="hr-HR"/>
              </w:rPr>
            </w:pPr>
            <w:r w:rsidRPr="00243DF6">
              <w:rPr>
                <w:lang w:val="hr-HR"/>
              </w:rPr>
              <w:t xml:space="preserve">534.705,00 </w:t>
            </w:r>
            <w:r w:rsidR="00244DBE" w:rsidRPr="00243DF6">
              <w:rPr>
                <w:lang w:val="hr-HR"/>
              </w:rPr>
              <w:t>€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top"/>
          </w:tcPr>
          <w:p w14:paraId="2E421E33" w14:textId="2090B4F4" w:rsidR="008B52A1" w:rsidRPr="00243DF6" w:rsidRDefault="002A62C3" w:rsidP="006B77AC">
            <w:pPr>
              <w:jc w:val="right"/>
              <w:rPr>
                <w:highlight w:val="yellow"/>
                <w:lang w:val="hr-HR"/>
              </w:rPr>
            </w:pPr>
            <w:r w:rsidRPr="00243DF6">
              <w:rPr>
                <w:lang w:val="hr-HR"/>
              </w:rPr>
              <w:t>1.537.647,00</w:t>
            </w:r>
            <w:r w:rsidR="00244DBE" w:rsidRPr="00243DF6">
              <w:rPr>
                <w:lang w:val="hr-HR"/>
              </w:rPr>
              <w:t>€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top"/>
          </w:tcPr>
          <w:p w14:paraId="398D5801" w14:textId="4F7510C4" w:rsidR="008B52A1" w:rsidRPr="00243DF6" w:rsidRDefault="00244DBE" w:rsidP="006B77AC">
            <w:pPr>
              <w:jc w:val="right"/>
              <w:rPr>
                <w:highlight w:val="yellow"/>
                <w:lang w:val="hr-HR"/>
              </w:rPr>
            </w:pPr>
            <w:r w:rsidRPr="00243DF6">
              <w:rPr>
                <w:lang w:val="hr-HR"/>
              </w:rPr>
              <w:t>1.</w:t>
            </w:r>
            <w:r w:rsidR="002A62C3" w:rsidRPr="00243DF6">
              <w:rPr>
                <w:lang w:val="hr-HR"/>
              </w:rPr>
              <w:t>051.353,00</w:t>
            </w:r>
            <w:r w:rsidRPr="00243DF6">
              <w:rPr>
                <w:lang w:val="hr-HR"/>
              </w:rPr>
              <w:t xml:space="preserve"> €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top"/>
          </w:tcPr>
          <w:p w14:paraId="7E75F128" w14:textId="1551CEE5" w:rsidR="008B52A1" w:rsidRPr="00243DF6" w:rsidRDefault="002A62C3" w:rsidP="006B77AC">
            <w:pPr>
              <w:jc w:val="right"/>
              <w:rPr>
                <w:highlight w:val="yellow"/>
                <w:lang w:val="hr-HR"/>
              </w:rPr>
            </w:pPr>
            <w:r w:rsidRPr="00243DF6">
              <w:rPr>
                <w:lang w:val="hr-HR"/>
              </w:rPr>
              <w:t>0</w:t>
            </w:r>
            <w:r w:rsidR="00244DBE" w:rsidRPr="00243DF6">
              <w:rPr>
                <w:lang w:val="hr-HR"/>
              </w:rPr>
              <w:t>,00 €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top"/>
          </w:tcPr>
          <w:p w14:paraId="0DB180B9" w14:textId="3ADEC67F" w:rsidR="008B52A1" w:rsidRPr="00243DF6" w:rsidRDefault="00243DF6" w:rsidP="006B77AC">
            <w:pPr>
              <w:jc w:val="right"/>
              <w:rPr>
                <w:highlight w:val="yellow"/>
                <w:lang w:val="hr-HR"/>
              </w:rPr>
            </w:pPr>
            <w:r w:rsidRPr="00243DF6">
              <w:rPr>
                <w:lang w:val="hr-HR"/>
              </w:rPr>
              <w:t>287</w:t>
            </w:r>
          </w:p>
        </w:tc>
      </w:tr>
    </w:tbl>
    <w:p w14:paraId="0499FAA5" w14:textId="77777777" w:rsidR="00E479C2" w:rsidRPr="00A33403" w:rsidRDefault="00E479C2" w:rsidP="00CB16C6">
      <w:pPr>
        <w:spacing w:after="0"/>
        <w:rPr>
          <w:color w:val="EE0000"/>
          <w:szCs w:val="22"/>
        </w:rPr>
      </w:pPr>
    </w:p>
    <w:p w14:paraId="414BFCE8" w14:textId="6C1F2612" w:rsidR="000D7318" w:rsidRPr="00243DF6" w:rsidRDefault="00E57EB0" w:rsidP="00CB16C6">
      <w:pPr>
        <w:spacing w:after="0"/>
        <w:rPr>
          <w:sz w:val="24"/>
          <w:szCs w:val="24"/>
        </w:rPr>
      </w:pPr>
      <w:r w:rsidRPr="00243DF6">
        <w:rPr>
          <w:sz w:val="24"/>
          <w:szCs w:val="24"/>
        </w:rPr>
        <w:t xml:space="preserve">U okviru Programa Učinkoviti ljudski potencijali 2021. – 2027., prioriteta 3. Socijalno uključivanje, specifičnog cilja 4.8. predviđena je izravna dodjela Agenciji za elektroničke medije za provedbu projekta »Promicanje medijske pismenosti, te su na ovoj, novoj aktivnosti, planirana sredstva u iznosu </w:t>
      </w:r>
      <w:r w:rsidR="00243DF6" w:rsidRPr="00243DF6">
        <w:rPr>
          <w:sz w:val="24"/>
          <w:szCs w:val="24"/>
        </w:rPr>
        <w:t>1.537.647,00</w:t>
      </w:r>
      <w:r w:rsidRPr="00243DF6">
        <w:rPr>
          <w:sz w:val="24"/>
          <w:szCs w:val="24"/>
        </w:rPr>
        <w:t xml:space="preserve"> eura za 202</w:t>
      </w:r>
      <w:r w:rsidR="00243DF6" w:rsidRPr="00243DF6">
        <w:rPr>
          <w:sz w:val="24"/>
          <w:szCs w:val="24"/>
        </w:rPr>
        <w:t>6</w:t>
      </w:r>
      <w:r w:rsidRPr="00243DF6">
        <w:rPr>
          <w:sz w:val="24"/>
          <w:szCs w:val="24"/>
        </w:rPr>
        <w:t xml:space="preserve">. godinu, </w:t>
      </w:r>
      <w:r w:rsidR="00243DF6" w:rsidRPr="00243DF6">
        <w:rPr>
          <w:sz w:val="24"/>
          <w:szCs w:val="24"/>
        </w:rPr>
        <w:t>1.051.353</w:t>
      </w:r>
      <w:r w:rsidR="00244DBE" w:rsidRPr="00243DF6">
        <w:rPr>
          <w:sz w:val="24"/>
          <w:szCs w:val="24"/>
        </w:rPr>
        <w:t>,00</w:t>
      </w:r>
      <w:r w:rsidRPr="00243DF6">
        <w:rPr>
          <w:sz w:val="24"/>
          <w:szCs w:val="24"/>
        </w:rPr>
        <w:t xml:space="preserve"> eura za 202</w:t>
      </w:r>
      <w:r w:rsidR="00243DF6" w:rsidRPr="00243DF6">
        <w:rPr>
          <w:sz w:val="24"/>
          <w:szCs w:val="24"/>
        </w:rPr>
        <w:t>7</w:t>
      </w:r>
      <w:r w:rsidRPr="00243DF6">
        <w:rPr>
          <w:sz w:val="24"/>
          <w:szCs w:val="24"/>
        </w:rPr>
        <w:t xml:space="preserve">. godinu i </w:t>
      </w:r>
      <w:r w:rsidR="00243DF6" w:rsidRPr="00243DF6">
        <w:rPr>
          <w:sz w:val="24"/>
          <w:szCs w:val="24"/>
        </w:rPr>
        <w:t>0</w:t>
      </w:r>
      <w:r w:rsidR="00244DBE" w:rsidRPr="00243DF6">
        <w:rPr>
          <w:sz w:val="24"/>
          <w:szCs w:val="24"/>
        </w:rPr>
        <w:t>,00</w:t>
      </w:r>
      <w:r w:rsidRPr="00243DF6">
        <w:rPr>
          <w:sz w:val="24"/>
          <w:szCs w:val="24"/>
        </w:rPr>
        <w:t xml:space="preserve"> eura za 202</w:t>
      </w:r>
      <w:r w:rsidR="00243DF6" w:rsidRPr="00243DF6">
        <w:rPr>
          <w:sz w:val="24"/>
          <w:szCs w:val="24"/>
        </w:rPr>
        <w:t>8</w:t>
      </w:r>
      <w:r w:rsidRPr="00243DF6">
        <w:rPr>
          <w:sz w:val="24"/>
          <w:szCs w:val="24"/>
        </w:rPr>
        <w:t>. godinu</w:t>
      </w:r>
      <w:r w:rsidR="00243DF6" w:rsidRPr="00243DF6">
        <w:rPr>
          <w:sz w:val="24"/>
          <w:szCs w:val="24"/>
        </w:rPr>
        <w:t xml:space="preserve">, </w:t>
      </w:r>
      <w:r w:rsidR="00243DF6" w:rsidRPr="00243DF6">
        <w:rPr>
          <w:sz w:val="24"/>
          <w:szCs w:val="24"/>
        </w:rPr>
        <w:t>iz razloga što projekt završava u 2027. godini.</w:t>
      </w:r>
    </w:p>
    <w:sectPr w:rsidR="000D7318" w:rsidRPr="0024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73"/>
    <w:rsid w:val="0000590B"/>
    <w:rsid w:val="00005BC9"/>
    <w:rsid w:val="00013C04"/>
    <w:rsid w:val="00025263"/>
    <w:rsid w:val="000308F0"/>
    <w:rsid w:val="0004001D"/>
    <w:rsid w:val="000464E0"/>
    <w:rsid w:val="000601BD"/>
    <w:rsid w:val="00062F6F"/>
    <w:rsid w:val="00064F90"/>
    <w:rsid w:val="00070743"/>
    <w:rsid w:val="000850BF"/>
    <w:rsid w:val="00091D27"/>
    <w:rsid w:val="000B2241"/>
    <w:rsid w:val="000B61DC"/>
    <w:rsid w:val="000C0779"/>
    <w:rsid w:val="000D7318"/>
    <w:rsid w:val="000E3A94"/>
    <w:rsid w:val="000F5EA0"/>
    <w:rsid w:val="00100DED"/>
    <w:rsid w:val="00114199"/>
    <w:rsid w:val="00114545"/>
    <w:rsid w:val="0011639A"/>
    <w:rsid w:val="001620DE"/>
    <w:rsid w:val="00176FC9"/>
    <w:rsid w:val="001868D3"/>
    <w:rsid w:val="001916A9"/>
    <w:rsid w:val="00191E10"/>
    <w:rsid w:val="001A228E"/>
    <w:rsid w:val="001C49F1"/>
    <w:rsid w:val="001E0475"/>
    <w:rsid w:val="001E0720"/>
    <w:rsid w:val="001E175C"/>
    <w:rsid w:val="00214881"/>
    <w:rsid w:val="00226D66"/>
    <w:rsid w:val="002270B8"/>
    <w:rsid w:val="00235347"/>
    <w:rsid w:val="00243DF6"/>
    <w:rsid w:val="00243E91"/>
    <w:rsid w:val="00244DBE"/>
    <w:rsid w:val="00255A33"/>
    <w:rsid w:val="002711BF"/>
    <w:rsid w:val="0027756D"/>
    <w:rsid w:val="002807FF"/>
    <w:rsid w:val="00282BB6"/>
    <w:rsid w:val="00284390"/>
    <w:rsid w:val="0029066D"/>
    <w:rsid w:val="002A1C53"/>
    <w:rsid w:val="002A62C3"/>
    <w:rsid w:val="002B014D"/>
    <w:rsid w:val="002B034A"/>
    <w:rsid w:val="002B2F28"/>
    <w:rsid w:val="002B7010"/>
    <w:rsid w:val="002D4F67"/>
    <w:rsid w:val="002E4077"/>
    <w:rsid w:val="002F4D45"/>
    <w:rsid w:val="00310E1A"/>
    <w:rsid w:val="0031424F"/>
    <w:rsid w:val="00314CF2"/>
    <w:rsid w:val="00317E08"/>
    <w:rsid w:val="003226BF"/>
    <w:rsid w:val="0032460E"/>
    <w:rsid w:val="00330897"/>
    <w:rsid w:val="00336D9B"/>
    <w:rsid w:val="00344B79"/>
    <w:rsid w:val="0034796F"/>
    <w:rsid w:val="00366B8A"/>
    <w:rsid w:val="0037123C"/>
    <w:rsid w:val="00375A90"/>
    <w:rsid w:val="00377106"/>
    <w:rsid w:val="00392CB0"/>
    <w:rsid w:val="003933DA"/>
    <w:rsid w:val="003A4A81"/>
    <w:rsid w:val="003C3F55"/>
    <w:rsid w:val="003E753C"/>
    <w:rsid w:val="00404A0C"/>
    <w:rsid w:val="00412ADF"/>
    <w:rsid w:val="00413E7A"/>
    <w:rsid w:val="00414882"/>
    <w:rsid w:val="00415BC5"/>
    <w:rsid w:val="0041677A"/>
    <w:rsid w:val="004215CA"/>
    <w:rsid w:val="004266CD"/>
    <w:rsid w:val="00435DED"/>
    <w:rsid w:val="00461264"/>
    <w:rsid w:val="00495446"/>
    <w:rsid w:val="00497304"/>
    <w:rsid w:val="004A4BC8"/>
    <w:rsid w:val="004A6A98"/>
    <w:rsid w:val="004C1BE5"/>
    <w:rsid w:val="004C350C"/>
    <w:rsid w:val="004F3AC4"/>
    <w:rsid w:val="004F4B92"/>
    <w:rsid w:val="004F6AEB"/>
    <w:rsid w:val="00502ECC"/>
    <w:rsid w:val="0050521D"/>
    <w:rsid w:val="00525477"/>
    <w:rsid w:val="005750A1"/>
    <w:rsid w:val="00577C94"/>
    <w:rsid w:val="005817D3"/>
    <w:rsid w:val="0058205D"/>
    <w:rsid w:val="00585856"/>
    <w:rsid w:val="0058741E"/>
    <w:rsid w:val="005C4C46"/>
    <w:rsid w:val="005D23C0"/>
    <w:rsid w:val="005D6EDD"/>
    <w:rsid w:val="005F4F90"/>
    <w:rsid w:val="00610E55"/>
    <w:rsid w:val="0061181C"/>
    <w:rsid w:val="00623549"/>
    <w:rsid w:val="00626B3B"/>
    <w:rsid w:val="00647B8A"/>
    <w:rsid w:val="006501D4"/>
    <w:rsid w:val="00662818"/>
    <w:rsid w:val="00662E7A"/>
    <w:rsid w:val="006658C8"/>
    <w:rsid w:val="0067510B"/>
    <w:rsid w:val="00675B62"/>
    <w:rsid w:val="00677B97"/>
    <w:rsid w:val="00693263"/>
    <w:rsid w:val="006A30A6"/>
    <w:rsid w:val="006A72D2"/>
    <w:rsid w:val="006D4080"/>
    <w:rsid w:val="006D4ABB"/>
    <w:rsid w:val="006D4B46"/>
    <w:rsid w:val="006E1994"/>
    <w:rsid w:val="006E3975"/>
    <w:rsid w:val="00722FFB"/>
    <w:rsid w:val="0072353B"/>
    <w:rsid w:val="0074181A"/>
    <w:rsid w:val="00767611"/>
    <w:rsid w:val="00772988"/>
    <w:rsid w:val="00775C7A"/>
    <w:rsid w:val="00791E80"/>
    <w:rsid w:val="007926C8"/>
    <w:rsid w:val="007B55C9"/>
    <w:rsid w:val="007C06BB"/>
    <w:rsid w:val="007C782D"/>
    <w:rsid w:val="00801178"/>
    <w:rsid w:val="0081301D"/>
    <w:rsid w:val="00830D22"/>
    <w:rsid w:val="00833068"/>
    <w:rsid w:val="00884935"/>
    <w:rsid w:val="0088555F"/>
    <w:rsid w:val="008A3A7E"/>
    <w:rsid w:val="008A5932"/>
    <w:rsid w:val="008B0A35"/>
    <w:rsid w:val="008B52A1"/>
    <w:rsid w:val="008B57CE"/>
    <w:rsid w:val="008D1CA2"/>
    <w:rsid w:val="008D3F5C"/>
    <w:rsid w:val="008E3F76"/>
    <w:rsid w:val="008E7071"/>
    <w:rsid w:val="008F52E6"/>
    <w:rsid w:val="009149EC"/>
    <w:rsid w:val="009236DB"/>
    <w:rsid w:val="00935515"/>
    <w:rsid w:val="00937FAF"/>
    <w:rsid w:val="00955256"/>
    <w:rsid w:val="00960C21"/>
    <w:rsid w:val="00966621"/>
    <w:rsid w:val="0099034A"/>
    <w:rsid w:val="009A1B53"/>
    <w:rsid w:val="009B067C"/>
    <w:rsid w:val="009B5EDB"/>
    <w:rsid w:val="009D0D97"/>
    <w:rsid w:val="009D1272"/>
    <w:rsid w:val="009E1E1C"/>
    <w:rsid w:val="009F1EC3"/>
    <w:rsid w:val="009F4077"/>
    <w:rsid w:val="00A00E70"/>
    <w:rsid w:val="00A061E8"/>
    <w:rsid w:val="00A23C4A"/>
    <w:rsid w:val="00A26173"/>
    <w:rsid w:val="00A27454"/>
    <w:rsid w:val="00A33403"/>
    <w:rsid w:val="00A33F61"/>
    <w:rsid w:val="00A34F29"/>
    <w:rsid w:val="00A4035A"/>
    <w:rsid w:val="00A4310D"/>
    <w:rsid w:val="00A460AB"/>
    <w:rsid w:val="00A553A3"/>
    <w:rsid w:val="00A61065"/>
    <w:rsid w:val="00A61C84"/>
    <w:rsid w:val="00A76F48"/>
    <w:rsid w:val="00AA4C51"/>
    <w:rsid w:val="00AC197C"/>
    <w:rsid w:val="00AF0570"/>
    <w:rsid w:val="00AF11A9"/>
    <w:rsid w:val="00AF57F5"/>
    <w:rsid w:val="00B01BDF"/>
    <w:rsid w:val="00B041A9"/>
    <w:rsid w:val="00B23F58"/>
    <w:rsid w:val="00B24D54"/>
    <w:rsid w:val="00B2694F"/>
    <w:rsid w:val="00B34B21"/>
    <w:rsid w:val="00B51433"/>
    <w:rsid w:val="00B604E6"/>
    <w:rsid w:val="00B62D91"/>
    <w:rsid w:val="00BB07AE"/>
    <w:rsid w:val="00BC237B"/>
    <w:rsid w:val="00BC349C"/>
    <w:rsid w:val="00BC3A42"/>
    <w:rsid w:val="00BE045B"/>
    <w:rsid w:val="00C04F07"/>
    <w:rsid w:val="00C07BC8"/>
    <w:rsid w:val="00C141DF"/>
    <w:rsid w:val="00C15472"/>
    <w:rsid w:val="00C16ED0"/>
    <w:rsid w:val="00C179FA"/>
    <w:rsid w:val="00C21F3C"/>
    <w:rsid w:val="00C434EA"/>
    <w:rsid w:val="00C43A02"/>
    <w:rsid w:val="00C60483"/>
    <w:rsid w:val="00C63A4D"/>
    <w:rsid w:val="00C64B6C"/>
    <w:rsid w:val="00C6533E"/>
    <w:rsid w:val="00C669A4"/>
    <w:rsid w:val="00C73578"/>
    <w:rsid w:val="00CA05DA"/>
    <w:rsid w:val="00CA4537"/>
    <w:rsid w:val="00CB16C6"/>
    <w:rsid w:val="00CB470D"/>
    <w:rsid w:val="00CB68D2"/>
    <w:rsid w:val="00CC52C9"/>
    <w:rsid w:val="00CC557F"/>
    <w:rsid w:val="00CD614D"/>
    <w:rsid w:val="00CE65C9"/>
    <w:rsid w:val="00CE7BAA"/>
    <w:rsid w:val="00CE7EEA"/>
    <w:rsid w:val="00CF2D01"/>
    <w:rsid w:val="00D029F8"/>
    <w:rsid w:val="00D105A6"/>
    <w:rsid w:val="00D125E6"/>
    <w:rsid w:val="00D14092"/>
    <w:rsid w:val="00D24E2F"/>
    <w:rsid w:val="00D349F9"/>
    <w:rsid w:val="00D52884"/>
    <w:rsid w:val="00D562EB"/>
    <w:rsid w:val="00D62702"/>
    <w:rsid w:val="00D83D86"/>
    <w:rsid w:val="00D85B58"/>
    <w:rsid w:val="00D955F6"/>
    <w:rsid w:val="00DA3255"/>
    <w:rsid w:val="00DA4807"/>
    <w:rsid w:val="00DA6E2E"/>
    <w:rsid w:val="00DB0524"/>
    <w:rsid w:val="00DB1029"/>
    <w:rsid w:val="00DB44BE"/>
    <w:rsid w:val="00DD2E85"/>
    <w:rsid w:val="00DE4768"/>
    <w:rsid w:val="00DE5B6C"/>
    <w:rsid w:val="00DF136C"/>
    <w:rsid w:val="00E23EFA"/>
    <w:rsid w:val="00E265F2"/>
    <w:rsid w:val="00E37CA5"/>
    <w:rsid w:val="00E479C2"/>
    <w:rsid w:val="00E53A71"/>
    <w:rsid w:val="00E563A8"/>
    <w:rsid w:val="00E57EB0"/>
    <w:rsid w:val="00E6403E"/>
    <w:rsid w:val="00E75744"/>
    <w:rsid w:val="00E96600"/>
    <w:rsid w:val="00EA023C"/>
    <w:rsid w:val="00EA2371"/>
    <w:rsid w:val="00EA7D21"/>
    <w:rsid w:val="00EC208D"/>
    <w:rsid w:val="00EC3E39"/>
    <w:rsid w:val="00ED4071"/>
    <w:rsid w:val="00EE17C7"/>
    <w:rsid w:val="00EF0C6E"/>
    <w:rsid w:val="00EF2B23"/>
    <w:rsid w:val="00F01818"/>
    <w:rsid w:val="00F2089A"/>
    <w:rsid w:val="00F35C4F"/>
    <w:rsid w:val="00F4004E"/>
    <w:rsid w:val="00F5094C"/>
    <w:rsid w:val="00F53539"/>
    <w:rsid w:val="00F612AA"/>
    <w:rsid w:val="00F635BE"/>
    <w:rsid w:val="00F748BC"/>
    <w:rsid w:val="00F768B2"/>
    <w:rsid w:val="00F76DAE"/>
    <w:rsid w:val="00F87512"/>
    <w:rsid w:val="00FB1832"/>
    <w:rsid w:val="00FB392E"/>
    <w:rsid w:val="00FC1ACF"/>
    <w:rsid w:val="00FC7F4C"/>
    <w:rsid w:val="00FD07AE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AF6F"/>
  <w15:chartTrackingRefBased/>
  <w15:docId w15:val="{5180404F-A6AC-474C-969D-CD574F12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2A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2">
    <w:name w:val="heading 2"/>
    <w:basedOn w:val="Normal"/>
    <w:next w:val="Normal"/>
    <w:link w:val="Heading2Char"/>
    <w:qFormat/>
    <w:rsid w:val="00A26173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A26173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26173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6173"/>
    <w:pPr>
      <w:keepNext/>
      <w:keepLines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6173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A26173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A26173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rsid w:val="00A26173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A26173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A26173"/>
  </w:style>
  <w:style w:type="table" w:customStyle="1" w:styleId="StilTablice">
    <w:name w:val="StilTablice"/>
    <w:basedOn w:val="TableNormal"/>
    <w:uiPriority w:val="99"/>
    <w:rsid w:val="00A26173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CommentReference">
    <w:name w:val="annotation reference"/>
    <w:basedOn w:val="DefaultParagraphFont"/>
    <w:uiPriority w:val="99"/>
    <w:semiHidden/>
    <w:unhideWhenUsed/>
    <w:rsid w:val="00A26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1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173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1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73"/>
    <w:rPr>
      <w:rFonts w:ascii="Segoe UI" w:eastAsia="Times New Roman" w:hAnsi="Segoe UI" w:cs="Segoe UI"/>
      <w:sz w:val="18"/>
      <w:szCs w:val="18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EDD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NormalWeb">
    <w:name w:val="Normal (Web)"/>
    <w:basedOn w:val="Normal"/>
    <w:uiPriority w:val="99"/>
    <w:unhideWhenUsed/>
    <w:rsid w:val="00C16ED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C1547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EF0C6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5BC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14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em.hr/wp-content/uploads/2023/10/Program-dodjele-sredstava-Fonda-za-poticanje-pluralizma-i-raznovrsnosti-elektronickih-medija-za-razdoblje-2024-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224E-EE2B-47A9-A159-2C6CDF65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8</Pages>
  <Words>2966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Rogošić</dc:creator>
  <cp:keywords/>
  <dc:description/>
  <cp:lastModifiedBy>Petra Pazman</cp:lastModifiedBy>
  <cp:revision>266</cp:revision>
  <cp:lastPrinted>2023-09-28T09:46:00Z</cp:lastPrinted>
  <dcterms:created xsi:type="dcterms:W3CDTF">2019-10-02T07:39:00Z</dcterms:created>
  <dcterms:modified xsi:type="dcterms:W3CDTF">2025-10-17T18:16:00Z</dcterms:modified>
</cp:coreProperties>
</file>